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spacing w:before="0" w:beforeLines="0" w:after="0" w:afterLines="0" w:line="580" w:lineRule="exact"/>
        <w:ind w:firstLine="0" w:firstLineChars="0"/>
        <w:jc w:val="both"/>
        <w:textAlignment w:val="auto"/>
        <w:outlineLvl w:val="9"/>
        <w:rPr>
          <w:rFonts w:hint="eastAsia" w:ascii="Times New Roman" w:hAnsi="Times New Roman" w:eastAsia="方正小标宋_GBK" w:cs="Arial"/>
          <w:bCs/>
          <w:color w:val="000000"/>
          <w:kern w:val="2"/>
          <w:sz w:val="44"/>
          <w:szCs w:val="24"/>
        </w:rPr>
      </w:pPr>
    </w:p>
    <w:p>
      <w:pPr>
        <w:adjustRightInd/>
        <w:snapToGrid/>
        <w:spacing w:before="0" w:after="0" w:line="580" w:lineRule="exact"/>
        <w:ind w:firstLine="0" w:firstLineChars="0"/>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重庆市发展和改革委员会</w:t>
      </w:r>
    </w:p>
    <w:p>
      <w:pPr>
        <w:adjustRightInd/>
        <w:snapToGrid/>
        <w:spacing w:before="0" w:after="0" w:line="580" w:lineRule="exact"/>
        <w:ind w:firstLine="0" w:firstLineChars="0"/>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关于印发《重庆市发展改革系统行政</w:t>
      </w:r>
    </w:p>
    <w:p>
      <w:pPr>
        <w:adjustRightInd/>
        <w:snapToGrid/>
        <w:spacing w:before="0" w:after="0" w:line="580" w:lineRule="exact"/>
        <w:ind w:firstLine="0" w:firstLineChars="0"/>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裁量权基准》的通知</w:t>
      </w:r>
    </w:p>
    <w:p>
      <w:pPr>
        <w:adjustRightInd/>
        <w:snapToGrid/>
        <w:spacing w:before="0" w:after="0" w:line="580" w:lineRule="exact"/>
        <w:ind w:firstLine="0" w:firstLineChars="0"/>
        <w:jc w:val="center"/>
        <w:textAlignment w:val="auto"/>
        <w:rPr>
          <w:rFonts w:hint="eastAsia" w:ascii="Times New Roman" w:hAnsi="Times New Roman" w:eastAsia="方正小标宋_GBK" w:cs="方正小标宋_GBK"/>
          <w:kern w:val="2"/>
          <w:sz w:val="44"/>
          <w:szCs w:val="44"/>
        </w:rPr>
      </w:pPr>
      <w:r>
        <w:rPr>
          <w:rFonts w:hint="eastAsia" w:eastAsia="方正仿宋_GBK" w:cs="方正仿宋_GBK"/>
          <w:kern w:val="2"/>
        </w:rPr>
        <w:t>渝发改规范〔2025〕2号</w:t>
      </w:r>
    </w:p>
    <w:p>
      <w:pPr>
        <w:adjustRightInd/>
        <w:snapToGrid/>
        <w:spacing w:before="0" w:after="0" w:line="240" w:lineRule="auto"/>
        <w:ind w:firstLine="0" w:firstLineChars="0"/>
        <w:textAlignment w:val="auto"/>
        <w:rPr>
          <w:rFonts w:hint="eastAsia" w:ascii="Times New Roman" w:hAnsi="Times New Roman" w:cs="方正仿宋_GBK"/>
          <w:kern w:val="2"/>
        </w:rPr>
      </w:pPr>
    </w:p>
    <w:p>
      <w:pPr>
        <w:adjustRightInd/>
        <w:snapToGrid/>
        <w:spacing w:before="0" w:after="0" w:line="240" w:lineRule="auto"/>
        <w:ind w:firstLine="0" w:firstLineChars="0"/>
        <w:textAlignment w:val="auto"/>
        <w:rPr>
          <w:rFonts w:hint="eastAsia" w:ascii="Times New Roman" w:hAnsi="Times New Roman" w:cs="方正仿宋_GBK"/>
          <w:kern w:val="2"/>
        </w:rPr>
      </w:pPr>
      <w:r>
        <w:rPr>
          <w:rFonts w:hint="eastAsia" w:ascii="Times New Roman" w:hAnsi="Times New Roman" w:cs="方正仿宋_GBK"/>
          <w:kern w:val="2"/>
        </w:rPr>
        <w:t>各区县（自治县）发展改革委，两江新区经济运行局、重庆高新区改革发展局、万盛经开区发展改革局：</w:t>
      </w:r>
    </w:p>
    <w:p>
      <w:pPr>
        <w:adjustRightInd/>
        <w:snapToGrid/>
        <w:spacing w:before="0" w:after="0" w:line="240" w:lineRule="auto"/>
        <w:ind w:firstLine="632" w:firstLineChars="200"/>
        <w:textAlignment w:val="auto"/>
        <w:rPr>
          <w:rFonts w:hint="eastAsia" w:ascii="Times New Roman" w:hAnsi="Times New Roman" w:cs="方正仿宋_GBK"/>
          <w:kern w:val="2"/>
        </w:rPr>
      </w:pPr>
      <w:r>
        <w:rPr>
          <w:rFonts w:hint="eastAsia" w:ascii="Times New Roman" w:hAnsi="Times New Roman" w:cs="方正仿宋_GBK"/>
          <w:kern w:val="2"/>
        </w:rPr>
        <w:t>《重庆市发展改革系统行政裁量权基准》已经市发展改革委2025年第59次委主任办公会审议通过，现予印发，自公布之日起30日后施行。</w:t>
      </w:r>
    </w:p>
    <w:p>
      <w:pPr>
        <w:adjustRightInd/>
        <w:snapToGrid/>
        <w:spacing w:before="0" w:after="0" w:line="240" w:lineRule="auto"/>
        <w:ind w:firstLine="0" w:firstLineChars="0"/>
        <w:textAlignment w:val="auto"/>
        <w:rPr>
          <w:rFonts w:hint="default" w:ascii="Times New Roman" w:hAnsi="Times New Roman" w:cs="Times New Roman"/>
          <w:kern w:val="0"/>
        </w:rPr>
      </w:pPr>
    </w:p>
    <w:p>
      <w:pPr>
        <w:adjustRightInd/>
        <w:snapToGrid/>
        <w:spacing w:before="0" w:after="0" w:line="240" w:lineRule="auto"/>
        <w:ind w:firstLine="0" w:firstLineChars="0"/>
        <w:textAlignment w:val="auto"/>
        <w:rPr>
          <w:rFonts w:hint="default" w:ascii="Times New Roman" w:hAnsi="Times New Roman" w:cs="Times New Roman"/>
          <w:kern w:val="0"/>
        </w:rPr>
      </w:pPr>
    </w:p>
    <w:p>
      <w:pPr>
        <w:adjustRightInd/>
        <w:snapToGrid/>
        <w:spacing w:before="0" w:after="0" w:line="240" w:lineRule="auto"/>
        <w:ind w:firstLine="4740" w:firstLineChars="1500"/>
        <w:textAlignment w:val="auto"/>
        <w:rPr>
          <w:rFonts w:hint="eastAsia" w:ascii="Times New Roman" w:hAnsi="Times New Roman" w:cs="方正仿宋_GBK"/>
          <w:kern w:val="2"/>
        </w:rPr>
      </w:pPr>
      <w:r>
        <w:rPr>
          <w:rFonts w:hint="eastAsia" w:ascii="Times New Roman" w:hAnsi="Times New Roman" w:cs="方正仿宋_GBK"/>
          <w:kern w:val="2"/>
        </w:rPr>
        <w:t>重庆市发展和改革委员会</w:t>
      </w:r>
    </w:p>
    <w:p>
      <w:pPr>
        <w:adjustRightInd/>
        <w:spacing w:after="0" w:line="240" w:lineRule="auto"/>
        <w:ind w:left="0" w:leftChars="0" w:firstLine="5372" w:firstLineChars="1700"/>
        <w:jc w:val="both"/>
        <w:rPr>
          <w:rFonts w:hint="eastAsia" w:ascii="Times New Roman" w:hAnsi="Times New Roman" w:cs="方正仿宋_GBK"/>
          <w:kern w:val="2"/>
          <w:lang w:val="en-US" w:eastAsia="zh-CN"/>
        </w:rPr>
      </w:pPr>
      <w:r>
        <w:rPr>
          <w:rFonts w:hint="eastAsia" w:ascii="Times New Roman" w:hAnsi="Times New Roman" w:cs="方正仿宋_GBK"/>
          <w:kern w:val="2"/>
        </w:rPr>
        <w:t>2025年8月</w:t>
      </w:r>
      <w:r>
        <w:rPr>
          <w:rFonts w:hint="eastAsia" w:ascii="Times New Roman" w:hAnsi="Times New Roman" w:cs="方正仿宋_GBK"/>
          <w:kern w:val="2"/>
          <w:lang w:val="en-US" w:eastAsia="zh-CN"/>
        </w:rPr>
        <w:t>6</w:t>
      </w:r>
      <w:r>
        <w:rPr>
          <w:rFonts w:hint="eastAsia" w:ascii="Times New Roman" w:hAnsi="Times New Roman" w:cs="方正仿宋_GBK"/>
          <w:kern w:val="2"/>
        </w:rPr>
        <w:t>日</w:t>
      </w:r>
      <w:r>
        <w:rPr>
          <w:rFonts w:hint="eastAsia" w:ascii="Times New Roman" w:hAnsi="Times New Roman" w:cs="方正仿宋_GBK"/>
          <w:kern w:val="2"/>
          <w:lang w:val="en-US" w:eastAsia="zh-CN"/>
        </w:rPr>
        <w:t xml:space="preserve">        </w:t>
      </w:r>
    </w:p>
    <w:p>
      <w:pPr>
        <w:pStyle w:val="11"/>
        <w:ind w:firstLine="0" w:firstLineChars="0"/>
        <w:jc w:val="both"/>
        <w:rPr>
          <w:rFonts w:hint="eastAsia"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0" w:footer="1417" w:gutter="0"/>
          <w:pgBorders>
            <w:top w:val="none" w:sz="0" w:space="0"/>
            <w:left w:val="none" w:sz="0" w:space="0"/>
            <w:bottom w:val="none" w:sz="0" w:space="0"/>
            <w:right w:val="none" w:sz="0" w:space="0"/>
          </w:pgBorders>
          <w:pgNumType w:fmt="decimal"/>
          <w:cols w:space="720" w:num="1"/>
          <w:rtlGutter w:val="0"/>
          <w:docGrid w:type="linesAndChars" w:linePitch="579" w:charSpace="-849"/>
        </w:sectPr>
      </w:pPr>
    </w:p>
    <w:p>
      <w:pPr>
        <w:widowControl/>
        <w:kinsoku w:val="0"/>
        <w:autoSpaceDE w:val="0"/>
        <w:autoSpaceDN w:val="0"/>
        <w:snapToGrid w:val="0"/>
        <w:spacing w:line="53" w:lineRule="exact"/>
        <w:jc w:val="left"/>
        <w:rPr>
          <w:rFonts w:ascii="Times New Roman" w:hAnsi="Times New Roman" w:eastAsia="Arial" w:cs="Arial"/>
          <w:snapToGrid w:val="0"/>
          <w:color w:val="000000"/>
          <w:kern w:val="0"/>
          <w:sz w:val="21"/>
          <w:szCs w:val="21"/>
          <w:lang w:eastAsia="en-US"/>
        </w:rPr>
      </w:pPr>
    </w:p>
    <w:p>
      <w:pPr>
        <w:overflowPunct w:val="0"/>
        <w:adjustRightInd/>
        <w:spacing w:beforeLines="0" w:afterLines="0" w:line="520" w:lineRule="exact"/>
        <w:rPr>
          <w:rFonts w:hint="eastAsia" w:ascii="Times New Roman" w:hAnsi="Times New Roman" w:eastAsia="方正小标宋_GBK" w:cs="方正小标宋_GBK"/>
          <w:color w:val="auto"/>
          <w:sz w:val="44"/>
          <w:szCs w:val="44"/>
          <w:highlight w:val="none"/>
          <w:lang w:val="en-US"/>
        </w:rPr>
      </w:pPr>
    </w:p>
    <w:p>
      <w:pPr>
        <w:overflowPunct w:val="0"/>
        <w:adjustRightInd/>
        <w:spacing w:beforeLines="0" w:afterLines="0" w:line="580" w:lineRule="exact"/>
        <w:jc w:val="center"/>
        <w:rPr>
          <w:rFonts w:hint="eastAsia" w:ascii="Times New Roman" w:hAnsi="Times New Roman" w:eastAsia="方正小标宋_GBK" w:cs="方正小标宋_GBK"/>
          <w:color w:val="auto"/>
          <w:sz w:val="44"/>
          <w:szCs w:val="44"/>
          <w:highlight w:val="none"/>
          <w:lang w:val="en-US"/>
        </w:rPr>
      </w:pPr>
      <w:r>
        <w:rPr>
          <w:rFonts w:hint="eastAsia" w:ascii="Times New Roman" w:hAnsi="Times New Roman" w:eastAsia="方正小标宋_GBK" w:cs="方正小标宋_GBK"/>
          <w:color w:val="auto"/>
          <w:sz w:val="44"/>
          <w:szCs w:val="44"/>
          <w:highlight w:val="none"/>
          <w:lang w:val="en-US"/>
        </w:rPr>
        <w:t>重庆市发展改革系统行政裁量权基准</w:t>
      </w:r>
    </w:p>
    <w:p>
      <w:pPr>
        <w:keepNext w:val="0"/>
        <w:keepLines w:val="0"/>
        <w:pageBreakBefore w:val="0"/>
        <w:widowControl w:val="0"/>
        <w:kinsoku/>
        <w:wordWrap/>
        <w:overflowPunct w:val="0"/>
        <w:topLinePunct w:val="0"/>
        <w:autoSpaceDE/>
        <w:autoSpaceDN/>
        <w:bidi w:val="0"/>
        <w:adjustRightInd/>
        <w:snapToGrid/>
        <w:spacing w:before="0" w:beforeLines="0" w:after="0" w:afterLines="0" w:line="240" w:lineRule="auto"/>
        <w:ind w:firstLine="0" w:firstLineChars="0"/>
        <w:textAlignment w:val="auto"/>
        <w:rPr>
          <w:rFonts w:hint="eastAsia" w:ascii="Times New Roman" w:hAnsi="Times New Roman" w:cs="方正仿宋_GBK"/>
          <w:color w:val="auto"/>
          <w:kern w:val="2"/>
          <w:sz w:val="32"/>
          <w:szCs w:val="32"/>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240" w:lineRule="auto"/>
        <w:ind w:firstLine="0" w:firstLineChars="0"/>
        <w:textAlignment w:val="auto"/>
        <w:rPr>
          <w:rFonts w:hint="eastAsia" w:ascii="Times New Roman" w:hAnsi="Times New Roman" w:eastAsia="方正黑体_GBK" w:cs="方正黑体_GBK"/>
          <w:color w:val="auto"/>
          <w:kern w:val="2"/>
          <w:sz w:val="32"/>
          <w:szCs w:val="32"/>
        </w:rPr>
      </w:pPr>
      <w:r>
        <w:rPr>
          <w:rFonts w:hint="eastAsia" w:ascii="Times New Roman" w:hAnsi="Times New Roman" w:eastAsia="方正黑体_GBK" w:cs="方正黑体_GBK"/>
          <w:color w:val="auto"/>
          <w:kern w:val="2"/>
          <w:sz w:val="32"/>
          <w:szCs w:val="32"/>
        </w:rPr>
        <w:t>一、重庆市发展改革系统行政许可裁量权基准</w:t>
      </w:r>
    </w:p>
    <w:tbl>
      <w:tblPr>
        <w:tblStyle w:val="14"/>
        <w:tblW w:w="22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3"/>
        <w:gridCol w:w="1697"/>
        <w:gridCol w:w="1902"/>
        <w:gridCol w:w="4572"/>
        <w:gridCol w:w="662"/>
        <w:gridCol w:w="956"/>
        <w:gridCol w:w="1126"/>
        <w:gridCol w:w="3237"/>
        <w:gridCol w:w="2616"/>
        <w:gridCol w:w="3773"/>
        <w:gridCol w:w="882"/>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blHeader/>
          <w:jc w:val="center"/>
        </w:trPr>
        <w:tc>
          <w:tcPr>
            <w:tcW w:w="623" w:type="dxa"/>
            <w:vMerge w:val="restart"/>
            <w:tcBorders>
              <w:top w:val="single" w:color="000000" w:sz="4" w:space="0"/>
              <w:left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eastAsia" w:ascii="Times New Roman" w:hAnsi="Times New Roman" w:eastAsia="方正黑体_GBK" w:cs="方正黑体_GBK"/>
                <w:kern w:val="2"/>
                <w:sz w:val="24"/>
                <w:szCs w:val="24"/>
                <w:lang w:val="en-US" w:eastAsia="zh-CN"/>
              </w:rPr>
            </w:pPr>
            <w:r>
              <w:rPr>
                <w:rFonts w:hint="eastAsia" w:eastAsia="方正黑体_GBK" w:cs="方正黑体_GBK"/>
                <w:kern w:val="2"/>
                <w:sz w:val="24"/>
                <w:szCs w:val="24"/>
                <w:lang w:val="en-US" w:eastAsia="zh-CN"/>
              </w:rPr>
              <w:t>序号</w:t>
            </w:r>
          </w:p>
        </w:tc>
        <w:tc>
          <w:tcPr>
            <w:tcW w:w="3599"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事项名称</w:t>
            </w:r>
          </w:p>
        </w:tc>
        <w:tc>
          <w:tcPr>
            <w:tcW w:w="4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法定依据</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实施主体</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法定办结时限（工作日）</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办理形式</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办理条件</w:t>
            </w:r>
          </w:p>
        </w:tc>
        <w:tc>
          <w:tcPr>
            <w:tcW w:w="2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申请材料</w:t>
            </w:r>
          </w:p>
        </w:tc>
        <w:tc>
          <w:tcPr>
            <w:tcW w:w="3773"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办理流程</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lang w:val="en-US" w:eastAsia="zh-CN"/>
              </w:rPr>
            </w:pPr>
            <w:r>
              <w:rPr>
                <w:rFonts w:hint="eastAsia" w:ascii="Times New Roman" w:hAnsi="Times New Roman" w:eastAsia="方正黑体_GBK" w:cs="方正黑体_GBK"/>
                <w:kern w:val="2"/>
                <w:sz w:val="24"/>
                <w:szCs w:val="24"/>
                <w:lang w:val="en-US" w:eastAsia="zh-CN"/>
              </w:rPr>
              <w:t>审批</w:t>
            </w:r>
          </w:p>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结果</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是否涉企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jc w:val="center"/>
        </w:trPr>
        <w:tc>
          <w:tcPr>
            <w:tcW w:w="623" w:type="dxa"/>
            <w:vMerge w:val="continue"/>
            <w:tcBorders>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eastAsia" w:ascii="Times New Roman" w:hAnsi="Times New Roman" w:eastAsia="方正黑体_GBK" w:cs="方正黑体_GBK"/>
                <w:kern w:val="2"/>
                <w:sz w:val="24"/>
                <w:szCs w:val="24"/>
                <w:lang w:val="en-US" w:eastAsia="zh-CN"/>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主项名称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lang w:val="en-US" w:eastAsia="zh-CN"/>
              </w:rPr>
              <w:t>子项名称</w:t>
            </w:r>
          </w:p>
        </w:tc>
        <w:tc>
          <w:tcPr>
            <w:tcW w:w="4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37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73" w:hRule="atLeast"/>
          <w:jc w:val="center"/>
        </w:trPr>
        <w:tc>
          <w:tcPr>
            <w:tcW w:w="623"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cs="方正仿宋_GBK"/>
                <w:kern w:val="2"/>
                <w:sz w:val="24"/>
                <w:szCs w:val="24"/>
                <w:lang w:val="en-US" w:eastAsia="zh-CN"/>
              </w:rPr>
              <w:t>1-1</w:t>
            </w:r>
          </w:p>
        </w:tc>
        <w:tc>
          <w:tcPr>
            <w:tcW w:w="1697"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不涉及跨省（区、市）河流上建设的大型水库和中型水库项目</w:t>
            </w:r>
          </w:p>
        </w:tc>
        <w:tc>
          <w:tcPr>
            <w:tcW w:w="4572"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一条 农业水利 水利工程：涉及跨界河流、跨省（区、市）水资源配置调整的重大水利项目由国务院投资主管部门核准，其中库容10亿立方米及以上或者涉及移民1万人及以上的水库项目由国务院核准。其余项目由地方政府核准。4.《重庆市政府核准的投资项目目录（2017年本）》（渝府发〔2017〕18号）第一条 农业水利 水利工程：不涉及跨省（区、市）河流上建设库容1亿立方米以上的大型水库和库容0.1亿—1亿立方米的中型水库，由市政府投资主管部门核准。</w:t>
            </w:r>
          </w:p>
        </w:tc>
        <w:tc>
          <w:tcPr>
            <w:tcW w:w="662"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 快递申请</w:t>
            </w:r>
          </w:p>
        </w:tc>
        <w:tc>
          <w:tcPr>
            <w:tcW w:w="3237"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项目移民安置规划审核意见及规划文本（仅指大中性水利工程建设项目）。</w:t>
            </w:r>
          </w:p>
        </w:tc>
        <w:tc>
          <w:tcPr>
            <w:tcW w:w="3773"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人根据事项权限提出申请；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提出审查建议意见；完成时限：1个工作日。4.决定审查标准：本委根据责任处室审议意见作出是否予以核准的决定；审查结果：予以核准或不予核准；完成时限：1个工作日。5.送达送达方式：现场领取或邮寄；颁发证件：项目核准批复文件；办理期限：1个工作日。</w:t>
            </w:r>
          </w:p>
        </w:tc>
        <w:tc>
          <w:tcPr>
            <w:tcW w:w="882"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nil"/>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57"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跨流域的水系连通工程项目、跨区县（自治县）水资源配置工程项目和在长江、嘉陵江、乌江干流上及区县（自治县）城市规划区内的堤防工程项目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 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一条 农业水利 水利工程：涉及跨界河流、跨省（区、市）水资源配置调整的重大水利项目由国务院投资主管部门核准，其中库容10亿立方米及以上或者涉及移民1万人及以上的水库项目由国务院核准。其余项目由地方政府核准。4.《重庆市政府核准的投资项目目录（2017年本）》（渝府发〔2017〕18号）第一条 农业水利 水利工程：跨流域的水系连通工程，跨区县水资源配置工程，在长江、嘉陵江、乌江干流上及区县城市规划区内的堤防工程，由市政府投资主管部门核准。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窗口办理</w:t>
            </w:r>
          </w:p>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网上办理</w:t>
            </w:r>
          </w:p>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快递申请</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项目移民安置规划审核意见及规划文本（仅指大中性水利工程建设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人根据事项权限提出申请；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提出审查建议意见；完成时限：1个工作日。4.决定审查标准：本委根据责任处室审议意见作出是否予以核准的决定；审查结果：予以核准或不予核准；完成时限：1个工作日。5.送达送达方式：现场领取或邮寄；颁发证件：项目核准批复文件；办理期限：1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4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涉及开荒的农业项目（核报市政府）</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72号）第一条 农业水利农业：涉及开荒的项目由省级政府核准。4.《重庆市企业投资项目核准目录（2017 年本）》（渝府发〔2017〕18 号）第一条 农业水利农业：涉及开荒的项目由市政府投资主管部门初审核报市政府同意后核准。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14</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 快递申请</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人根据事项权限提出申请；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现场领取或邮寄；颁发证件：项目核准批复文件；办理期限：1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34"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4</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不涉及跨省（区、市）河流上建设的除大型水库、中型水库项目以外的其余水库项目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一条 农业水利 水利工程：涉及跨界河流、跨省（区、市）水资源配置调整的重大水利项目由国务院投资主管部门核准，其中库容10亿立方米及以上或者涉及移民1万人及以上的水库项目由国务院核准。其余项目由地方政府核准4.《重庆市政府核准的投资项目目录（2017年本）》（渝府发〔2017〕18号）第一条 农业水利 水利工程：涉及跨界河流、跨省（区、市）水资源配置调整的重大水利项目由国务院投资主管部门核准，其中库容10亿立方米及以上或者涉及移民1万人及以上的水库项目由国务院核准。不涉及跨省（市）河流上建设库容1亿立方米以上的大型水库和库容0. 1—1亿立方米的中型水库，跨流域的水系连通工程，跨区县水资源配置工程，在长江、嘉陵江、乌江干流上及区县城市规划区内的堤防工程，由市政府投资主管部门核准。其余项目由区县政府投资主管部门核准。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区县发展改革部门</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 快递申请</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项目移民安置规划审核意见及规划文本（仅指大中性水利工程建设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人根据事项权限提出申请；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提出审查建议意见；完成时限：1个工作日。4.决定审查标准：本部门根据责任科室审议意见作出是否予以核准的决定；审查结果：予以核准或不予核准；完成时限：1个工作日。5.送达送达方式：现场领取或邮寄；颁发证件：项目核准批复文件；办理期限：1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18"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5</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除跨流域的水系连通工程项目、跨区县（自治县）水资源配置工程项目和在长江、嘉陵江、乌江干流上及区县（自治县）城市规划区内的堤防工程项目以外的其余水事工程项目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一条 农业水利 水利工程：涉及跨界河流、跨省（区、市）水资源配置调整的重大水利项目由国务院投资主管部门核准，其中库容10亿立方米及以上或者涉及移民1万人及以上的水库项目由国务院核准。其余项目由地方政府核准4.《重庆市政府核准的投资项目目录（2017年本）》（渝府发〔2017〕18号）第一条 农业水利</w:t>
            </w:r>
            <w:r>
              <w:rPr>
                <w:rFonts w:hint="eastAsia" w:ascii="Times New Roman" w:hAnsi="Times New Roman" w:cs="方正仿宋_GBK"/>
                <w:kern w:val="2"/>
                <w:sz w:val="24"/>
                <w:szCs w:val="24"/>
                <w:lang w:val="en-US" w:eastAsia="zh-CN"/>
              </w:rPr>
              <w:t xml:space="preserve"> </w:t>
            </w:r>
            <w:r>
              <w:rPr>
                <w:rFonts w:hint="eastAsia" w:ascii="Times New Roman" w:hAnsi="Times New Roman" w:eastAsia="方正仿宋_GBK" w:cs="方正仿宋_GBK"/>
                <w:kern w:val="2"/>
                <w:sz w:val="24"/>
                <w:szCs w:val="24"/>
                <w:lang w:val="en-US" w:eastAsia="zh-CN"/>
              </w:rPr>
              <w:t>水利工程：涉及跨界河流、跨省（区、市）水资源配置调整的重大水利项目由国务院投资主管部门核准，其中库容10亿立方米及以上或者涉及移民1万人及以上的水库项目由国务院核准。不涉及跨省（市）河流上建设库容1亿立方米以上的大型水库和库容0.1—1亿立方米的中型水库，跨流域的水系连通工程，跨区县水资源配置工程，在长江、嘉陵江、乌江干流上及区县城市规划区内的堤防工程，由市政府投资主管部门核准。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区县发展改革部门</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 快递申请</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国土空间规划、区域规划、产业政策、市场准入标准、资源开发、能耗与环境管理等要求。3.依法办理国土用地、规划城乡规划选址、环境评价等相关手续。4.如实提供相关材料，报告相关信息。</w:t>
            </w:r>
          </w:p>
        </w:tc>
        <w:tc>
          <w:tcPr>
            <w:tcW w:w="2616" w:type="dxa"/>
            <w:tcBorders>
              <w:top w:val="nil"/>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项目移民安置规划审核意见及规划文本（仅指大中性水利工程建设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人根据事项权限提出申请；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提出审查建议意见；完成时限：1个工作日。4.决定审查标准：本部门根据责任科室审议意见作出是否予以核准的决定；审查结果：予以核准或不予核准；完成时限：1个工作日。5.送达送达方式：现场领取或邮寄；颁发证件：项目核准批复文件；办理期限：1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15"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6</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新建（含增建）列入国家批准的有关规划的非中国铁路总公司为主出资的铁路项目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新建（含增建）铁路：列入国家批准的相关规划中的项目，中国铁路总公司为主出资的由其自行决定并报国务院投资主管部门备案，其他企业投资的由省级政府核准；地方城际铁路项目由省级政府按照国家批准的相关规划核准，并报国务院投资主管部门备案；其余项目由省级政府核准。4.《重庆市政府核准的投资项目目录（2017年本）》（渝府发〔2017〕18号）第三条 交通运输 新建（含增建）铁路：列入国家批准的有关规划中的项目，中国铁路总公司为主出资的由其自行决定并报国务院投资主管部门备案，其他企业投资的由市政府投资主管部门初审核报市政府同意后核准；地方城际铁路项目由市政府投资主管部门按照国家批准的有关规划初审核报市政府同意后核准，并报国务院投资主管部门备案；企业铁路专用线由市政府投资主管部门初审核报市政府同意后核准。其余项目由市政府投资主管部门按照市政府批准的有关建设规划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4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7</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新建（含增建）地方城际铁路项目、企业铁路专用线项目和其余新建（含增建）铁路项目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新建（含增建）铁路：列入国家批准的相关规划中的项目，中国铁路总公司为主出资的由其自行决定并报国务院投资主管部门备案，其他企业投资的由省级政府核准；地方城际铁路项目由省级政府按照国家批准的相关规划核准，并报国务院投资主管部门备案；其余项目由省级政府核准。4.《重庆市政府核准的投资项目目录（2017年本）》（渝府发〔2017〕18号）第三条 交通运输 新建（含增建）铁路：列入国家批准的有关规划中的项目，中国铁路总公司为主出资的由其自行决定并报国务院投资主管部门备案，其他企业投资的由市政府投资主管部门初审核报市政府同意后核准；地方城际铁路项目由市政府投资主管部门按照国家批准的有关规划初审核报市政府同意后核准，并报国务院投资主管部门备案；企业铁路专用线由市政府投资主管部门初审核报市政府同意后核准。其余项目由市政府投资主管部门按照市政府批准的有关建设规划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4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8</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国家高速公路网和公路的普通国道网项目、地方高速公路项目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公路：国家高速公路网和普通国道网项目由省级政府按照国家批准的相关规划核准，地方高速公路项目由省级政府核准，其余项目由地方政府核准。4.《重庆市政府核准的投资项目目录（2017年本）》（渝府发〔2017〕18号）第三条 交通运输 公路：国家高速公路网和普通国道网项目由市政府投资主管部门按照国家批准的有关规划初审核报市政府同意后核准；地方高速公路项目由市政府投资主管部门按照市政府批准的规划初审核报市政府同意后核准。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86"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9</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国家批准的有关规划中的非中国铁路总公司为主出资的独立公（铁）路桥梁、隧道项目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4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独立公（铁）路桥梁、隧道：跨境项目由国务院投资主管部门核准并报国务院备案。国家批准的相关规划中的项目，中国铁路总公司为主出资的由其自行决定并报国务院投资主管部门备案，其他企业投资的由省级政府核准；其余独立铁路桥梁、隧道及跨10万吨级及以上航道海域、跨大江大河（现状或规划为一级及以上通航段）的独立公路桥梁、隧道项目，由省级政府核准，其中跨长江干线航道的项目应符合国家批准的相关规划。其余项目由地方政府核准。4.《重庆市政府核准的投资项目目录（2017年本）》（渝府发〔2017〕18号）第三条 交通运输 独立公（铁）路桥梁、隧道：国家批准的有关规划中的项目，中国铁路总公司为主出资的由其自行决定并报国务院投资主管部门备案，其他企业投资的由市政府投资主管部门初审核报市政府同意后核准；跨现状或规划为四级及以上通航段的项目由市政府投资主管部门核准，其中跨现状或规划为一级及以上通航段的项目由市政府投资主管部门初审核报市政府同意后核准，跨长江干线航道的项目还应符合国家批准的有关规划。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0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10</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跨现状或规划为一级及以上通航段的独立公（铁）路桥梁、隧道项目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4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独立公（铁）路桥梁、隧道：跨境项目由国务院投资主管部门核准并报国务院备案。国家批准的相关规划中的项目，中国铁路总公司为主出资的由其自行决定并报国务院投资主管部门备案，其他企业投资的由省级政府核准；其余独立铁路桥梁、隧道及跨10万吨级及以上航道海域、跨大江大河（现状或规划为一级及以上通航段）的独立公路桥梁、隧道项目，由省级政府核准，其中跨长江干线航道的项目应符合国家批准的相关规划。其余项目由地方政府核准。4.《重庆市政府核准的投资项目目录（2017年本）》（渝府发〔2017〕18号）第三条 交通运输 独立公（铁）路桥梁、隧道：国家批准的有关规划中的项目，中国铁路总公司为主出资的由其自行决定并报国务院投资主管部门备案，其他企业投资的由市政府投资主管部门初审核报市政府同意后核准；跨现状或规划为四级及以上通航段的项目由市政府投资主管部门核准，其中跨现状或规划为一级及以上通航段的项目由市政府投资主管部门初审核报市政府同意后核准，跨长江干线航道的项目还应符合国家批准的有关规划。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37"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11</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跨现状或规划为四级及以上、一级以下（不含一级）通航段的独立公（铁）路桥梁、隧道项目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4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独立公（铁）路桥梁、隧道：跨境项目由国务院投资主管部门核准并报国务院备案。国家批准的相关规划中的项目，中国铁路总公司为主出资的由其自行决定并报国务院投资主管部门备案，其他企业投资的由省级政府核准；其余独立铁路桥梁、隧道及跨10万吨级及以上航道海域、跨大江大河（现状或规划为一级及以上通航段）的独立公路桥梁、隧道项目，由省级政府核准，其中跨长江干线航道的项目应符合国家批准的相关规划。其余项目由地方政府核准。4.《重庆市政府核准的投资项目目录（2017年本）》（渝府发〔2017〕18号）第三条 交通运输 独立公（铁）路桥梁、隧道：国家批准的有关规划中的项目，中国铁路总公司为主出资的由其自行决定并报国务院投资主管部门备案，其他企业投资的由市政府投资主管部门初审核报市政府同意后核准；跨现状或规划为四级及以上通航段的项目由市政府投资主管部门核准，其中跨现状或规划为一级及以上通航段的项目由市政府投资主管部门初审核报市政府同意后核准，跨长江干线航道的项目还应符合国家批准的有关规划。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3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12</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煤炭、矿石、油气专用泊位项目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交通运输。煤炭、矿石、油气专用泊位：由省级政府按国家批准的相关规划核准。4.《重庆市政府核准的投资项目目录（2017年本）》（渝府发〔2017〕18号）第三条 交通运输 煤炭、矿石、油气专用泊位：由市政府投资主管部门按照国家批准的有关规划初审核报市政府同意后核准。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76"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13</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集装箱专用码头项目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spacing w:val="0"/>
                <w:kern w:val="2"/>
                <w:sz w:val="24"/>
                <w:szCs w:val="24"/>
              </w:rPr>
            </w:pPr>
            <w:r>
              <w:rPr>
                <w:rFonts w:hint="eastAsia" w:ascii="Times New Roman" w:hAnsi="Times New Roman" w:eastAsia="方正仿宋_GBK" w:cs="方正仿宋_GBK"/>
                <w:spacing w:val="0"/>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集装箱专用码头：由省级政府按国家批准的相关规划核准。4.《重庆市政府核准的投资项目目录（2017年本）》（渝府发〔2017〕18号）第三条 交通运输 集装箱专用码头：由市政府投资主管部门按照国家批准的有关规划初审核报市政府同意后核准。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9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default"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14</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内河航运的跨省（区、市）高等级航道的千吨级及以上航电枢纽项目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内河航运：跨省（区、市）高等级航道的千吨级及以上航电枢纽项目由省级政府按国家批准的相关规划核准，其余项目由地方政府核准。4.《重庆市政府核准的投资项目目录（2017年本）》（渝府发〔2017〕18号）第三条 交通运输 内河航运：跨省（区、市）高等级航道的千吨级及以上航电枢纽项目由市政府投资主管部门按国家批准的有关规划初审核报市政府同意后核准；千吨级及以上的独立船闸项目，非跨省（区、市）高等级航道的千吨级及以上的航电枢纽项目，以及其他在长江、嘉陵江、乌江上的通航建筑物项目由市政府投资主管部门按照市政府批准的有关规划核准；其余项目由区县政府投资主管部门按照市政府批准的有关建设规划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5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15</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内河航运的千吨级及以上的独立船闸项目、非跨省（区、市）高等级航道的千吨级及以上的航电枢纽项目以及其他在长江、嘉陵江、乌江上的通航建筑物项目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内河航运：跨省（区、市）高等级航道的千吨级及以上航电枢纽项目由省级政府按国家批准的相关规划核准，其余项目由地方政府核准。4.《重庆市政府核准的投资项目目录（2017年本）》（渝府发〔2017〕18号）第三条 交通运输 内河航运：跨省（区、市）高等级航道的千吨级及以上航电枢纽项目由市政府投资主管部门按国家批准的有关规划初审核报市政府同意后核准；千吨级及以上的独立船闸项目，非跨省（区、市）高等级航道的千吨级及以上的航电枢纽项目，以及其他在长江、嘉陵江、乌江上的通航建筑物项目由市政府投资主管部门按照市政府批准的有关规划核准；其余项目由区县政府投资主管部门按照市政府批准的有关建设规划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16</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新建通用机场项目、扩建军民合用机场（增建跑道除外）项目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民航：新建运输机场项目由国务院、中央军委核准，新建通用机场项目、扩建军民合用机场（增建跑道除外）项目由省级政府核准。4.《重庆市政府核准的投资项目目录（2017年本）》（渝府发〔2017〕18号）第三条 交通运输 民航：新建运输机场项目由国务院、中央军委核准，新建通用机场项目、扩建军民合用机场（增建跑道除外）项目由市政府投资主管部门初审核报市政府同意后核准。在重庆江北国际机场的机场地区外、总体规划范围内的建设项目，由市政府投资主管部门备案。</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8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17</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城市快速轨道交通项目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九条 城建 城市快速轨道交通项目：由省级政府按照国家批准的相关规划核准。4.《重庆市政府核准的投资项目目录（2017年本）》（渝府发〔2017〕18号）第九条 城建 城市快速轨道交通项目：由市政府投资主管部门按照国家批准的有关规划初审核报市政府同意后核准。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1个工作日。4.决定审查标准：根据市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67"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18</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除国家高速公路网和普通国道网项目、地方高速公路项目以外的其余公路项目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公路：国家高速公路网和普通国道网项目由省级政府按照国家批准的相关规划核准，地方高速公路项目由省级政府核准，其余项目由地方政府核准。4.《重庆市政府核准的投资项目目录（2017年本）》（渝府发〔2017〕18号）第三条 交通运输 公路：国家高速公路网和普通国道网项目由市政府投资主管部门按照国家批准的有关规划初审核报市政府同意后核准；地方高速公路项目由市政府投资主管部门按照市政府批准的规划初审核报市政府同意后核准。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区县发展改革部门</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区县政府提出审查建议意见；完成时限：1个工作日。4.决定审查标准：根据区县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5"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19</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除国家批准的有关规划中的项目和跨现状或规划为四级及以上通航段项目以外的其余独立公（铁）路桥梁、隧道项目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4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独立公（铁）路桥梁、隧道：跨境项目由国务院投资主管部门核准并报国务院备案。国家批准的相关规划中的项目，中国铁路总公司为主出资的由其自行决定并报国务院投资主管部门备案，其他企业投资的由省级政府核准；其余独立铁路桥梁、隧道及跨10万吨级及以上航道海域、跨大江大河（现状或规划为一级及以上通航段）的独立公路桥梁、隧道项目，由省级政府核准，其中跨长江干线航道的项目应符合国家批准的相关规划。其余项目由地方政府核准。4.《重庆市政府核准的投资项目目录（2017年本）》（渝府发〔2017〕18号）第三条 交通运输 独立公（铁）路桥梁、隧道：国家批准的有关规划中的项目，中国铁路总公司为主出资的由其自行决定并报国务院投资主管部门备案，其他企业投资的由市政府投资主管部门初审核报市政府同意后核准；跨现状或规划为四级及以上通航段的项目由市政府投资主管部门核准，其中跨现状或规划为一级及以上通航段的项目由市政府投资主管部门初审核报市政府同意后核准，跨长江干线航道的项目还应符合国家批准的有关规划。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区县发展改革部门</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区县政府提出审查建议意见；完成时限：1个工作日。4.决定审查标准：根据区县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24"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20</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内河航运千吨级以下独立船闸项目、千吨级以下航电枢纽项目和在除长江、嘉陵江、乌江以外的我市河流上建设的通航建筑物项目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三条 交通运输 内河航运：跨省（区、市）高等级航道的千吨级及以上航电枢纽项目由省级政府按国家批准的相关规划核准，其余项目由地方政府核准。4.《重庆市政府核准的投资项目目录（2017年本）》（渝府发〔2017〕18号）第三条 交通运输 内河航运：跨省（区、市）高等级航道的千吨级及以上航电枢纽项目由市政府投资主管部门按国家批准的有关规划初审核报市政府同意后核准；千吨级及以上的独立船闸项目，非跨省（区、市）高等级航道的千吨级及以上的航电枢纽项目，以及其他在长江、嘉陵江、乌江上的通航建筑物项目由市政府投资主管部门按照市政府批准的有关规划核准；其余项目由区县政府投资主管部门按照市政府批准的有关建设规划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区县发展改革部门</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6.行业管理部门出具的意见。</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区县政府提出审查建议意见；完成时限：1个工作日。4.决定审查标准：根据区县政府审定结果作出是否予以核准的决定；审查结果：予以核准或不予核准；完成时限：1个工作日。5.送达送达方式：邮寄或现场领取；颁发证件：项目核准批复文件；办理期限：2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85"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21</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稀土深加工项目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五条 原材料 稀土冶炼分离项目、稀土深加工项目由省级政府核准。4.《重庆市政府核准的投资项目目录（2017年本）》（渝府发〔2017〕18号）第五条 原材料 稀土：稀土冶炼分离项目由市政府行业主管部门初审核报市政府同意后核准；稀土深加工项目由市政府投资主管部门初审核报市政府同意后核准。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受理审查标准：是否属于受理范围、申请材料是否齐全且符合法定形式；审查结果：予以受理或不予受理；完成时限：0.5个工作日。2.审查审查标准：进行实质性审查，并向市政府提出审查建议意见；审查结果：报请市政府审定；完成时限：2个工作日。3.决定审查标准：根据市政府审定结果作出是否予以核准的决定；审查结果：予以核准的，制作项目核准文件；不予核准的，制作不予核准书面通知；完成时限：3个工作日。4.送达送达方式：邮寄或现场领取；颁发证件：项目核准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4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22</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黄金采选矿项目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五条 原材料 黄金：采选矿项目由省级政府核准。4.《重庆市政府核准的投资项目目录（2017年本）》（渝府发〔2017〕18号）第五条 原材料 黄金：采选矿项目由市政府投资主管部门初审核报市政府同意后核准。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受理审查标准：是否属于受理范围、申请材料是否齐全且符合法定形式；审查结果：予以受理或不予受理；完成时限：0.5个工作日；2.审查审查标准：进行实质性审查，并向市政府提出审查建议意见；审查结果：报请市政府审定；完成时限：2个工作日。3.决定审查标准：根据市政府审定结果作出是否予以核准的决定；审查结果：予以核准的，制作项目核准文件；不予核准的，制作不予核准书面通知；完成时限：3个工作日。4.送达送达方式：邮寄或现场领取；颁发证件：项目核准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6"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23</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新建煤制烯烃、新建煤制对二甲苯（PX）项目和新建年产超过100万吨的煤制甲醇项目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五条 原材料 煤化工：新建煤制烯烃、新建煤制对二甲苯（PX）项目，由省级政府按照国家批准的相关规划核准。新建年产超过100万吨的煤制甲醇项目，由省级政府核准。其余项目禁止建设。4.《重庆市政府核准的投资项目目录（2017年本）》（渝府发〔2017〕18号）第五条 原材料 煤化工：新建煤制烯烃、新建煤制对二甲苯（PX）项目，由市政府投资主管部门按照国家批准的有关规划初审核报市政府同意后核准。新建年产超过100万吨的煤制甲醇项目，由市政府投资主管部门初审核报市政府同意后核准。其余项目禁止建设。</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受理审查标准：是否属于受理范围、申请材料是否齐全且符合法定形式；审查结果：予以受理或不予受理；完成时限：0.5个工作日。2.审查审查标准：进行实质性审查，并向市政府提出审查建议意见；审查结果：报请市政府审定；完成时限：2个工作日。3.决定审查标准：根据市政府审定结果作出是否予以核准的决定；审查结果：予以核准的，制作项目核准文件；不予核准的，制作不予核准书面通知；完成时限：3个工作日。4.送达送达方式：邮寄或现场领取；颁发证件：项目核准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6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24</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新建乙烯、对二甲苯（PX）、二苯基甲烷二异氰酸酯（MDI）项目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五条 原材料 石化：新建乙烯、对二甲苯（PX）、二苯基甲烷二异氰酸酯（MDI）项目由省级政府按照国家批准的石化产业规划布局方案核准。未列入国家批准的相关规划的新建乙烯、对二甲苯（PX）、二苯基甲烷二异氰酸酯（MDI）项目，禁止建设。4.《重庆市政府核准的投资项目目录（2017年本）》（渝府发〔2017〕18号）第五条 原材料 石化：新建乙烯、对二甲苯（PX）、二苯基甲烷二异氰酸酯（MDI）项目由市政府投资主管部门按照国家批准的石化产业规划布局方案初审核报市政府同意后核准。未列入国家批准的相关规划的新建乙烯、对二甲苯（PX）、二苯基甲烷二异氰酸酯（MDI）项目，禁止建设。</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受理审查标准：是否属于受理范围、申请材料是否齐全且符合法定形式；审查结果：予以受理或不予受理；完成时限：0.5个工作日。2.审查审查标准：进行实质性审查，并向市政府提出审查建议意见；审查结果：报请市政府审定；完成时限：2个工作日。3.决定审查标准：根据市政府审定结果作出是否予以核准的决定；审查结果：予以核准的，制作项目核准文件；不予核准的，制作不予核准书面通知；完成时限：3个工作日。4.送达送达方式：邮寄或现场领取；颁发证件：项目核准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6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25</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铁矿、有色矿山开发项目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五条 原材料 稀土、铁矿、有色矿山开发：由省级政府核准。4.《重庆市政府核准的投资项目目录（2017年本）》（渝府发〔2017〕18号）第五条 原材料 稀土、铁矿、有色矿山开发：稀土矿山开发项目，由市政府行业主管部门初审核报市政府同意后核准；其余项目由市政府投资主管部门初审核报市政府同意后核准。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受理审查标准：是否属于受理范围、申请材料是否齐全且符合法定形式；审查结果：予以受理或不予受理；完成时限：0.5个工作日。2.审查审查标准：进行实质性审查，并向市政府提出审查建议意见；审查结果：报请市政府审定；完成时限：2个工作日。3.决定审查标准：根据市政府审定结果作出是否予以核准的决定；审查结果：予以核准的，制作项目核准文件；不予核准的，制作不予核准书面通知；完成时限：3个工作日。4.送达送达方式：邮寄或现场领取；颁发证件：项目核准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8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26</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6吨/9座以下通用飞机和3吨以下直升机制造项目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1.《企业投资项目核准和备案管理条例》（中华人民共和国国务院令第673号）第三条 对关系国家安全、涉及全国重大生产力布局、战略性资源开发和重大公共利益等项目，实行核准管理。具体项目范围以及核准机关、核准权限依照政府核准的投资项目目录执行。1.《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八条 高新技术 民用航空航天：干线支线飞机、6吨/9座及以上通用飞机和3吨及以上直升机制造、民用卫星制造、民用遥感卫星地面站建设项目，由国务院投资主管部门核准；6吨/9座以下通用飞机和3吨以下直升机制造项目由省级政府核准。4.《重庆市政府核准的投资项目目录（2017年本）》（渝府发〔2017〕18号）第八条 高新技术 民用航空航天：干线支线飞机、6吨/9座及以上通用飞机和3吨及以上直升机制造、民用卫星制造、民用遥感卫星地面站建设项目，由国务院投资主管部门核准。6吨/9座以下通用飞机和3吨以下直升机制造项目由市政府投资主管部门初审核报市政府同意后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受理审查标准：是否属于受理范围、申请材料是否齐全且符合法定形式；审查结果：予以受理或不予受理；完成时限：0.5个工作日。2.审查审查标准：进行实质性审查，并向市政府提出审查建议意见；审查结果：报请市政府审定；完成时限：2个工作日。3.决定审查标准：根据市政府审定结果作出是否予以核准的决定；审查结果：予以核准的，制作项目核准文件；不予核准的，制作不予核准书面通知；完成时限：3个工作日。4.送达送达方式：邮寄或现场领取；颁发证件：项目核准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2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cs="方正仿宋_GBK"/>
                <w:kern w:val="2"/>
                <w:sz w:val="24"/>
                <w:szCs w:val="24"/>
                <w:lang w:val="en-US" w:eastAsia="zh-CN"/>
              </w:rPr>
              <w:t>1-27</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需跨区县（自治县）配置水资源、调节价格的城市供水项目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九条 城建 城市道路桥梁、隧道：跨10万吨级及以上航道海域、跨大江大河（现状或规划为一级及以上通航段）的项目由省级政府核准。其他城建项目：由地方政府自行确定实行核准或者备案。4.《重庆市政府核准的投资项目目录（2017年本）》（渝府发〔2017〕18号）第九条 其他城建项目：跨区县平衡的生活垃圾焚烧发电项目由市政府投资主管部门按照市政府批准的行业发展规划初审核报市政府同意后核准；需市级财政平衡处理费的污水处理项目，以及需跨区县配置水资源、调节价格的城市供水项目由市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0个工作日。2.受理审查标准：属于受理范围、申请材料齐全且符合法定形式；审查结果：出具《行政审批受理通知书》或出具《行政审批补正通知书》或出具《行政审批不予受理通知书》；完成时限：0.5个工作日。3.审查审查标准：进行实质性审查；审查结果：通过审查或未通过审查；完成时限：2个工作日。4.决定审查标准：根据实质性审查结果作出是否予以核准的决定；审查结果：予以核准的，制作项目核准批复文件；不予核准的，制作不予核准书面通知；完成时限：3个工作日。5.送达送达方式：“窗口”通知现场领取或邮寄送出；颁发证件：项目核准批复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4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28</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跨现状或规划为一级及以上通航段的城市道路桥梁、隧道项目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九条 城建 城市道路桥梁、隧道：跨10万吨级及以上航道海域、跨大江大河（现状或规划为一级及以上通航段）的项目由省级政府核准。其他城建项目：由地方政府自行确定实行核准或者备案。4.《重庆市政府核准的投资项目目录（2017年本）》（渝府发〔2017〕18号）第九条 城建 城市道路桥梁、隧道：跨现状或规划为四级及以上通航段的项目由市政府投资主管部门核准，其中跨现状或规划为一级及以上通航段的项目由市政府投资主管部门初审核报市政府同意后核准，跨长江干线航道的项目还应符合国家批准的相关规划。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0个工作日。2.受理审查标准：属于受理范围、申请材料齐全且符合法定形式；审查结果：出具《行政审批受理通知书》或出具《行政审批补正通知书》或出具《行政审批不予受理通知书》；完成时限：0.5个工作日。3.审查审查标准：进行实质性审查，并向市政府提出审查建议意见；审查结果：报请市政府审定；完成时限：2个工作日。4.决定审查标准：根据市政府审定结果作出是否予以核准的决定；审查结果：予以核准的，制作项目核准批复文件；不予核准的，制作不予核准书面通知；完成时限：3个工作日。5.送达送达方式：“窗口”通知现场领取或邮寄送出；颁发证件：项目核准批复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1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29</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跨现状或规划为四级及以上、一级以下（不含一级）通航段的城市道路桥梁、隧道项目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九条 城建 城市道路桥梁、隧道：跨10万吨级及以上航道海域、跨大江大河（现状或规划为一级及以上通航段）的项目由省级政府核准。其他城建项目：由地方政府自行确定实行核准或者备案。4.《重庆市政府核准的投资项目目录（2017年本）》（渝府发〔2017〕18号）第九条 城建 城市道路桥梁、隧道：跨现状或规划为四级及以上通航段的项目由市政府投资主管部门核准，其中跨现状或规划为一级及以上通航段的项目由市政府投资主管部门初审核报市政府同意后核准，跨长江干线航道的项目还应符合国家批准的相关规划。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0个工作日。2.受理审查标准：属于受理范围、申请材料齐全且符合法定形式；审查结果：出具《行政审批受理通知书》或出具《行政审批补正通知书》或出具《行政审批不予受理通知书》；完成时限：0.5个工作日。3.审查审查标准：进行实质性审查；审查结果：对申请材料进行实质性审查，并提出审查意见；完成时限：2个工作日。4.决定审查标准：根据实质性审查结果作出是否予以核准的决定；审查结果：予以核准的，制作项目核准批复文件；不予核准的，制作不予核准书面通知；完成时限：3个工作日。5.送达送达方式：“窗口”通知现场领取或邮寄送出；颁发证件：项目核准批复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18"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30</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除跨现状或规划为四级及以上通航段项目以外的其余城市道路桥梁、隧道项目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九条 城建 城市道路桥梁、隧道：跨10万吨级及以上航道海域、跨大江大河（现状或规划为一级及以上通航段）的项目由省级政府核准。其他城建项目：由地方政府自行确定实行核准或者备案。4.《重庆市政府核准的投资项目目录（2017年本）》（渝府发〔2017〕18号）第九条 城建 城市道路桥梁、隧道：跨现状或规划为四级及以上通航段的项目由市政府投资主管部门核准，其中跨现状或规划为一级及以上通航段的项目由市政府投资主管部门初审核报市政府同意后核准，跨长江干线航道的项目还应符合国家批准的相关规划。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区县发展改革部门</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0个工作日。2.受理审查标准：属于受理范围、申请材料齐全且符合法定形式；审查结果：出具《行政审批受理通知书》或出具《行政审批补正通知书》或出具《行政审批不予受理通知书》；完成时限：0.5个工作日。3.审查审查标准：进行实质性审查；审查结果：对申请材料进行实质性审查，并提出审查意见；完成时限：2个工作日。4.决定审查标准：根据实质性审查结果作出是否予以核准的决定；审查结果：予以核准的，制作项目核准批复文件；不予核准的，制作不予核准书面通知；完成时限：3个工作日。5.送达送达方式：“窗口”通知现场领取或邮寄送出；颁发证件：项目核准批复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25"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31</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除需跨区县（自治县）平衡的生活垃圾焚烧发电项目、需市级财政平衡处理费的污水处理项目和需跨区县配置水资源、调节价格的城市供水项目以外的其余城建项目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九条 城建 城市道路桥梁、隧道：跨10万吨级及以上航道海域、跨大江大河（现状或规划为一级及以上通航段）的项目由省级政府核准。其他城建项目：由地方政府自行确定实行核准或者备案。4.《重庆市政府核准的投资项目目录（2017年本）》（渝府发〔2017〕18号）第九条 城建 其他城建项目：需跨区县平衡的生活垃圾焚烧发电项目由市政府投资主管部门按照市政府批准的行业发展规划初审核报市政府同意后核准；需市级财政平衡处理费的污水处理项目，以及需跨区县配置水资源、调节价格的城市供水项目由市政府投资主管部门核准。其余项目由区县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区县发展改革部门</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属于受理范围、申请材料齐全且符合法定形式；审查结果：登记接件；完成时限：0个工作日。2.受理审查标准：属于受理范围、申请材料齐全且符合法定形式；审查结果：出具《行政审批受理通知书》或出具《行政审批补正通知书》或出具《行政审批不予受理通知书》；完成时限：0.5个工作日。3.审查审查标准：进行实质性审查；审查结果：对申请材料进行实质性审查，并提出审查意见；完成时限：2个工作日。4.决定审查标准：根据实质性审查结果作出是否予以核准的决定；审查结果：予以核准的，制作项目核准批复文件；不予核准的，制作不予核准书面通知；完成时限：3个工作日。5.送达送达方式：“窗口”通知现场领取或邮寄送出；颁发证件：项目核准批复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36"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32</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生活垃圾焚烧发电项目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二条 能源 火电站（含自备电站）：由省级政府核准，其中燃煤燃气火电项目应在国家依据总量控制的建设规划内核准。4.《重庆市人民政府关于发布重庆市政府核准的投资项目目录（2017年本）的通知》（渝府发〔2017〕18号）第二条 能源 火电站（含自备）：燃煤燃气火电站项目由市政府投资主管部门在国家依据总量控制制定的建设规划内初审核报市政府同意后核准，其余火电站项目（如生物质发电、煤层气等）由市政府投资主管部门按照市政府批准的行业发展规划初审核报市政府同意后核准。5.《关于印发重庆市企业投资项目核准和备案管理办法（修订）的通知》（渝府发〔2025〕6号）第四条第二款 对关系国家安全、涉及重大生产力布局、战略性资源开发和重大公共利益等项目，实行核准管理。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无；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2个工作日。4.决定审查标准：根据市政府审定结果作出是否予以核准的决定；审查结果：予以核准或不予核准；完成时限：1个工作日。5.颁证送达方式：邮寄或现场领取颁发证件：项目核准批复文件办理期限：0.5个工作日6.送达送达方式：现场领取或邮寄；颁发证件：项目核准批复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33</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需市级财政平衡处理费的污水处理项目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九条 城建 城市道路桥梁、隧道：跨10万吨级及以上航道海域、跨大江大河（现状或规划为一级及以上通航段）的项目由省级政府核准。其他城建项目：由地方政府自行确定实行核准或者备案。4.《重庆市人民政府关于发布重庆市政府核准的投资项目目录（2017年本）的通知》（渝府发〔2017〕18号）第九条 城建 其他城建项目：需跨区县平衡的生活垃圾焚烧发电项目由市政府投资主管部门按照市政府批准的行业发展规划初审核报市政府同意后核准；需市级财政平衡处理费的污水处理项目，以及需跨区县配置水资源、调节价格的城市供水项目由市政府投资主管部门核准。其余项目由区县政府投资主管部门核准。”。5.《关于印发重庆市企业投资项目核准和备案管理办法（修订）的通知》（渝府发〔2025〕6号）第四条第二款 对关系国家安全、涉及重大生产力布局、战略性资源开发和重大公共利益等项目，实行核准管理。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无；审查结果：登记接件；完成时限：1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提出审查建议意见；完成时限：2个工作日。4.决定审查标准：本委根据责任处室审议意见作出是否予以核准的决定；审查结果：予以核准或不予核准；完成时限：1个工作日。5.颁证送达方式：邮寄或现场领取颁发证件：项目核准批复文件办理期限：0.5个工作日6.送达送达方式：现场领取或邮寄；颁发证件：项目核准批复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46" w:hRule="atLeast"/>
          <w:jc w:val="center"/>
        </w:trPr>
        <w:tc>
          <w:tcPr>
            <w:tcW w:w="623" w:type="dxa"/>
            <w:tcBorders>
              <w:top w:val="single" w:color="000000"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34</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非市属事业单位实施的职业学历教育新建和扩建项目以及区县属事业单位实施的未列入建设发展规划的其他社会事业项目（不含维修改造类项目）</w:t>
            </w:r>
          </w:p>
        </w:tc>
        <w:tc>
          <w:tcPr>
            <w:tcW w:w="4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十条 社会事业 其他社会事业项目：按照隶属关系由国务院行业管理部门、地方政府自行确定实行核准或者备案。4.《重庆市政府核准的投资项目目录（2017年本）》（渝府发〔2017〕18号）第十条 社会事业 其他社会事业项目：职业学历教育新建和扩建项目实行分级核准，市属事业单位实施的由市政府投资主管部门核准，其他主体实施的由区县（自治县）人民政府投资主管部门核准；事业单位实施的未列入建设发展规划的其他社会事业项目（不含维修改造类项目）实行分级核准，市属事业单位实施的由市政府投资主管部门核准，区县属事业单位实施的由区县（自治县）人民政府投资主管部门核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区县发展改革部门</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资源开发等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人根据事项权限提出申请；审查结果：登记接件；完成时限：0个工作日。2.受理审查标准：属于受理范围、申请材料完整、有效，且符合法定形式；审查结果：予以受理或不予受理；完成时限：0.5个工作日。3.审查审查标准：项目内容及申报材料应符合已经对外公布的该行政许可事项办理规程的具体要求，符合国家法律法规规章的相关要求；审查结果：对申请材料进行实质性审查，并提出审查建议意见；完成时限：2个工作日。4.决定审查标准：区县发展改革部门根据审查意见作出是否予以核准的决定；审查结果：予以核准或不予核准；完成时限：3个工作日。5.送达送达方式：现场领取或邮寄；颁发证件：项目核准批复文件；办理期限：0.5个工作日。</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60" w:hRule="atLeast"/>
          <w:jc w:val="center"/>
        </w:trPr>
        <w:tc>
          <w:tcPr>
            <w:tcW w:w="623"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35</w:t>
            </w:r>
          </w:p>
        </w:tc>
        <w:tc>
          <w:tcPr>
            <w:tcW w:w="1697"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非特大型主题公园项目</w:t>
            </w:r>
          </w:p>
        </w:tc>
        <w:tc>
          <w:tcPr>
            <w:tcW w:w="4572"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十条 社会事业。主题公园：特大型项目由国务院核准，其余项目由省级政府核准。4.《重庆市政府核准的投资项目目录（2017年本）》（渝府发〔2017〕18号）第十条 社会事业 主题公园：特大型项目由国务院核准，其余项目由市政府投资主管部门会同相关部门初审核报市政府同意后核准。</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资源开发等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人根据事项权限提出申请；审查结果：登记接件；完成时限：0个工作日。2.受理审查标准：属于受理范围、申请材料完整、有效，且符合法定形式；审查结果：予以受理或不予受理；完成时限：0.5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2个工作日。4.决定审查标准：根据市政府审定结果作出是否予以核准的决定；审查结果：予以核准或不予核准；完成时限：3个工作日。5.送达送达方式：邮寄；颁发证件：项目核准批复文件；办理期限：0.5个工作日。</w:t>
            </w:r>
          </w:p>
        </w:tc>
        <w:tc>
          <w:tcPr>
            <w:tcW w:w="882" w:type="dxa"/>
            <w:tcBorders>
              <w:top w:val="single" w:color="auto" w:sz="4" w:space="0"/>
              <w:left w:val="single" w:color="auto" w:sz="4" w:space="0"/>
              <w:bottom w:val="single" w:color="auto" w:sz="4" w:space="0"/>
              <w:right w:val="single" w:color="auto"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auto" w:sz="4" w:space="0"/>
              <w:left w:val="single" w:color="auto" w:sz="4" w:space="0"/>
              <w:bottom w:val="single" w:color="auto" w:sz="4" w:space="0"/>
              <w:right w:val="single" w:color="auto"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42" w:hRule="atLeast"/>
          <w:jc w:val="center"/>
        </w:trPr>
        <w:tc>
          <w:tcPr>
            <w:tcW w:w="62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36</w:t>
            </w:r>
          </w:p>
        </w:tc>
        <w:tc>
          <w:tcPr>
            <w:tcW w:w="169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国家级风景名胜区、国家自然保护区、全国重点文物保护单位区域内总投资5000万元及以上旅游开发和资源保护项目，世界自然和文化遗产保护区内总投资3000万元及以上旅游项目</w:t>
            </w:r>
          </w:p>
        </w:tc>
        <w:tc>
          <w:tcPr>
            <w:tcW w:w="457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十条 社会事业 旅游：国家级风景名胜区、国家自然保护区、全国重点文物保护单位区域内总投资5000万元及以上旅游开发和资源保护项目，世界自然和文化遗产保护区内总投资3000万元及以上项目，由省级政府核准。4.《重庆市政府核准的投资项目目录（2017年本）》（渝府发〔2017〕18号）第十条 社会事业 旅游：国家级风景名胜区、国家自然保护区、全国重点文物保护单位区域内总投资5000万元及以上旅游开发和资源保护项目，世界自然和文化遗产保护区内总投资3000万元及以上项目，由市政府投资主管部门初审核报市政府同意后核准。</w:t>
            </w:r>
          </w:p>
        </w:tc>
        <w:tc>
          <w:tcPr>
            <w:tcW w:w="66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资源开发等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人根据事项权限提出申请；审查结果：登记接件；完成时限：0个工作日。2.受理审查标准：属于受理范围、申请材料完整、有效，且符合法定形式；审查结果：予以受理或不予受理；完成时限：0.5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2个工作日。4.决定审查标准：根据市政府审定结果作出是否予以核准的决定；审查结果：予以核准或不予核准；完成时限：3个工作日。5.送达送达方式：邮寄；颁发证件：项目核准批复文件；办理期限：0.5个工作日。</w:t>
            </w:r>
          </w:p>
        </w:tc>
        <w:tc>
          <w:tcPr>
            <w:tcW w:w="88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auto" w:sz="4" w:space="0"/>
              <w:left w:val="single" w:color="000000" w:sz="4" w:space="0"/>
              <w:bottom w:val="single" w:color="auto"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73" w:hRule="atLeast"/>
          <w:jc w:val="center"/>
        </w:trPr>
        <w:tc>
          <w:tcPr>
            <w:tcW w:w="62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37</w:t>
            </w:r>
          </w:p>
        </w:tc>
        <w:tc>
          <w:tcPr>
            <w:tcW w:w="169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市属事业单位实施的职业学历教育新建和扩建项目以及未列入建设发展规划的其他社会事业项目（不含维修改造类项目）</w:t>
            </w:r>
          </w:p>
        </w:tc>
        <w:tc>
          <w:tcPr>
            <w:tcW w:w="457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十条 社会事业 其他社会事业项目：按照隶属关系由国务院行业管理部门、地方政府自行确定实行核准或者备案。4.《重庆市政府核准的投资项目目录（2017年本）》（渝府发〔2017〕18号）第十条 社会事业 其他社会事业项目：职业学历教育新建和扩建项目实行分级核准，市属事业单位实施的由市政府投资主管部门核准，其他主体实施的由区县（自治县）人民政府投资主管部门核准；事业单位实施的未列入建设发展规划的其他社会事业项目（不含维修改造类项目）实行分级核准，市属事业单位实施的由市政府投资主管部门核准，区县属事业单位实施的由区县（自治县）人民政府投资主管部门核准。</w:t>
            </w:r>
          </w:p>
        </w:tc>
        <w:tc>
          <w:tcPr>
            <w:tcW w:w="66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资源开发等要求。3.依法履行项目核准或备案及其他相关手续，并依法办理城乡规划、土地（水域）使用、环境保护、能源资源利用、安全生产等相关手续。4.如实提供相关材料，报告相关信息。</w:t>
            </w:r>
          </w:p>
        </w:tc>
        <w:tc>
          <w:tcPr>
            <w:tcW w:w="261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用地预审意见（规划自然资源主管部门明确可以不进行用地预审的情形除外）；2.社会稳定风险分析篇章或社会稳定风险评估报告；3.项目申请报告（由申请人按照要求自行编制或自主选择具有相应资质的中介机构编制）；4.关于核准项目申请报告的请示；5.选址意见书（仅指以划拨方式提供国有土地使用权的项目）。</w:t>
            </w:r>
          </w:p>
        </w:tc>
        <w:tc>
          <w:tcPr>
            <w:tcW w:w="377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人根据事项权限提出申请；审查结果：登记接件；完成时限：0个工作日。2.受理审查标准：属于受理范围、申请材料完整、有效，且符合法定形式；审查结果：予以受理或不予受理；完成时限：0.5个工作日。3.审查审查标准：项目内容及申报材料应符合已经对外公布的该行政许可事项办理规程的具体要求，符合国家法律法规规章的相关要求；审查结果：对申请材料进行实质性审查，并提出审查建议意见；完成时限：2个工作日。4.决定审查标准：本委根据审查意见作出是否予以核准的决定；审查结果：予以核准或不予核准；完成时限：3个工作日。5.送达送达方式：邮寄；颁发证件：项目核准批复文件；办理期限：0.5个工作日。</w:t>
            </w:r>
          </w:p>
        </w:tc>
        <w:tc>
          <w:tcPr>
            <w:tcW w:w="88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auto" w:sz="4" w:space="0"/>
              <w:left w:val="single" w:color="000000" w:sz="4" w:space="0"/>
              <w:bottom w:val="single" w:color="auto"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68" w:hRule="atLeast"/>
          <w:jc w:val="center"/>
        </w:trPr>
        <w:tc>
          <w:tcPr>
            <w:tcW w:w="62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1-</w:t>
            </w:r>
            <w:r>
              <w:rPr>
                <w:rFonts w:hint="eastAsia" w:cs="方正仿宋_GBK"/>
                <w:kern w:val="2"/>
                <w:sz w:val="24"/>
                <w:szCs w:val="24"/>
                <w:lang w:val="en-US" w:eastAsia="zh-CN"/>
              </w:rPr>
              <w:t>38</w:t>
            </w:r>
          </w:p>
        </w:tc>
        <w:tc>
          <w:tcPr>
            <w:tcW w:w="169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固定资产投资项目核准（含国发〔2016〕72号文件规定的外商投资项目）</w:t>
            </w:r>
          </w:p>
        </w:tc>
        <w:tc>
          <w:tcPr>
            <w:tcW w:w="190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外商投资准入负面清单中非禁止投资领域的总投资（含增资）3亿美元以下外商投资项目</w:t>
            </w:r>
          </w:p>
        </w:tc>
        <w:tc>
          <w:tcPr>
            <w:tcW w:w="457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4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1.《企业投资项目核准和备案管理条例》（国务院令第673号）第三条第一款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2.《企业投资项目核准和备案管理办法》（国家发展改革委令第2号）第五条第一款 实行核准管理的具体项目范围以及核准机关、核准权限，由国务院颁布的《政府核准的投资项目目录》确定。法律、行政法规和国务院对项目核准的范围、权限有专门规定的，从其规定。3.《政府核准的投资项目目录（2016年本）》（国发〔2016年〕72号）第十一条 外商投资 《外商投资产业指导目录 》中总投资（含增资）3亿美元及以上限制类项目，由国务院投资主管部门核准，其中总投资（含增资）20亿美元及以上项目报国务院备案。《外商投资产业指导目录》中总投资（含增资）3亿美元以下限制类项目，由省级政府核准。4.《重庆市政府核准的投资项目目录（2017年本）》（渝府发〔2017〕18号）第十一条 外商投资 国务院批准的《外商投资产业指导目录》中总投资（含增资）3亿美元及以上限制类项目，由国务院投资主管部门核准，其中总投资（含增资）20亿美元及以上项目报国务院备案。总投资（含增资）3亿美元以下限制类项目，由市政府投资主管部门初审核报市政府同意后核准。5.《外商投资项目核准和备案管理办法》(2014年5月17日国家发展改革委令第12号公布 自2014年6月17日起施行 根据2014年12月27日国家发展改革委令第20号修订）第十五条 项目核准机关自受理项目核准申请之日起20内，完成对项目申请报告的核准。如20内不能做出核准决定的，由本部门负责人批准延长10个工作日，并将延长期限的理由告知项目申报单位。 前款规定的核准期限，委托咨询评估和进行专家评议所需的时间不计算在内。</w:t>
            </w:r>
          </w:p>
        </w:tc>
        <w:tc>
          <w:tcPr>
            <w:tcW w:w="66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符合国家有关法律法规和现行有效的《外商投资产业指导目录》《鼓励外商投资产业目录》规定。2.符合发展规划、产业政策及准入标准。3.合理开发并有效利用了资源。4.不影响国家安全和生态安全。5.对公众利益不产生重大不利影响。6.符合国家资本项目管理、外债管理的有关规定。</w:t>
            </w:r>
          </w:p>
        </w:tc>
        <w:tc>
          <w:tcPr>
            <w:tcW w:w="261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项目申请报告（项目申请报告应包含项目及投资方情况、资源利用和生态环境影响分析、经济和社会影响分析，外国投资者并购境内企业项目申请报告应包括并购方情况、并购安排、融资方案和被并购方情况、被并购后经营方式、范围和股权结构、所得收入的使用安排等）；2.中外投资各方的企业注册证明材料及经审计的最新企业财务报表(包括资产负债表、利润表和现金流量表)、开户银行出具的资金信用证明；3.投资意向书，增资、并购项目的公司董事会决议；4.城乡规划行政主管部门出具的选址意见书(仅指以划拨方式提供国有土地使用权的项目)；5.国土资源行政主管部门出具的用地预审意见(不涉及新增用地，在已批准的建设用地范围内进行改扩建的项目，可以不进行用地预审)；6.环境保护行政主管部门出具的环境影响评价审批文件；7.节能审查机关出具的节能审查意见；8.以国有资产出资的，需由有关主管部门出具的确认文件；9.根据有关法律法规的规定应当提交的其他文件。</w:t>
            </w:r>
          </w:p>
        </w:tc>
        <w:tc>
          <w:tcPr>
            <w:tcW w:w="377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事项是否属于本委权限范围；申请材料是否完整、有效、合法；审查结果：收件登记；完成时限：0.5个工作日；2.受理审查标准：申请事项是否属于本委权限范围；申请材料是否完整、有效、合法；审查结果：予以受理或不予受理；完成时限：1个工作日。3.审查审查标准：项目内容及申报材料应符合已经对外公布的该行政许可事项办理规程的具体要求，符合国家法律法规规章的相关要求；审查结果：对申请材料进行实质性审查，并向市政府提出审查建议意见；完成时限：3个工作日。4.决定审查标准：根据市政府审定结果作出是否予以核准的决定；审查结果：予以核准或不予核准；完成时限：1个工作日。5.颁证送达方式：邮寄或现场领取；颁发证件：项目核准批复文件；办理期限：0.5个工作日。具体办理流程参照《外商投资项目核准和备案管理办法》《政府核准的投资项目目录》等有关规定。需要报请市政府审定、报请上级部门审查、委托咨询评估、进行专家评议等所需时间均不计算在办理时限内。</w:t>
            </w:r>
          </w:p>
        </w:tc>
        <w:tc>
          <w:tcPr>
            <w:tcW w:w="88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项目核准批复文件</w:t>
            </w:r>
          </w:p>
        </w:tc>
        <w:tc>
          <w:tcPr>
            <w:tcW w:w="785" w:type="dxa"/>
            <w:tcBorders>
              <w:top w:val="single" w:color="auto" w:sz="4" w:space="0"/>
              <w:left w:val="single" w:color="000000" w:sz="4" w:space="0"/>
              <w:bottom w:val="single" w:color="auto"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30" w:hRule="atLeast"/>
          <w:jc w:val="center"/>
        </w:trPr>
        <w:tc>
          <w:tcPr>
            <w:tcW w:w="62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cs="方正仿宋_GBK"/>
                <w:kern w:val="2"/>
                <w:sz w:val="24"/>
                <w:szCs w:val="24"/>
                <w:lang w:val="en-US" w:eastAsia="zh-CN"/>
              </w:rPr>
              <w:t>2</w:t>
            </w:r>
          </w:p>
        </w:tc>
        <w:tc>
          <w:tcPr>
            <w:tcW w:w="169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固定资产投资项目节能审查</w:t>
            </w:r>
          </w:p>
        </w:tc>
        <w:tc>
          <w:tcPr>
            <w:tcW w:w="190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457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40" w:lineRule="exact"/>
              <w:jc w:val="both"/>
              <w:textAlignment w:val="auto"/>
              <w:rPr>
                <w:rFonts w:hint="default" w:ascii="Times New Roman" w:hAnsi="Times New Roman" w:eastAsia="方正仿宋_GBK" w:cs="方正仿宋_GBK"/>
                <w:spacing w:val="-17"/>
                <w:kern w:val="2"/>
                <w:sz w:val="24"/>
                <w:szCs w:val="24"/>
              </w:rPr>
            </w:pPr>
            <w:r>
              <w:rPr>
                <w:rFonts w:hint="eastAsia" w:ascii="Times New Roman" w:hAnsi="Times New Roman" w:eastAsia="方正仿宋_GBK" w:cs="方正仿宋_GBK"/>
                <w:spacing w:val="-17"/>
                <w:kern w:val="2"/>
                <w:sz w:val="24"/>
                <w:szCs w:val="24"/>
                <w:lang w:val="en-US" w:eastAsia="zh-CN"/>
              </w:rPr>
              <w:t>1.《中华人民共和国节约能源法》（2018年中华人民共和国主席令第16号修正）第十五条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2.《国务院关于加强节能工作的决定》（国发〔2006〕28号）第二十三条 建立固定资产投资项目节能评估和审查制度。有关部门和地方人民政府要对固定资产投资项目（含新建、改建、扩建项目）进行节能评估和审查。对未进行节能审查或未能通过节能审查的项目一律不得审批、核准，从源头杜绝能源的浪费。对擅自批准项目建设的，要依法依规追究直接责任人的责任。发展改革委要会同有关部门制定固定资产投资项目节能评估和审查的具体办法。3.《固定资产投资项目节能审查办法》(国家发展和改革委员会令2023年第2号) 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 4.《固定资产投资项目节能审查办法》（国家发展和改革委员会令2023年第2号） 第七条 固定资产投资项目节能审查由地方节能审查机关负责。节能审查机关应当制定并公开服务指南，列明节能审查的申报材料、受理方式、审查条件、办理流程、办理时限等，为建设单位提供指导和服务，提高工作效能和透明度。上级节能审查机关应加强对下级节能审查机关的工作指导。5.《固定资产投资项目节能审查办法》（国家发展和改革委员会令2023年第2号） 第九条第一款 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w:t>
            </w:r>
          </w:p>
        </w:tc>
        <w:tc>
          <w:tcPr>
            <w:tcW w:w="66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市发展改革委、区县发展改革部门</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20</w:t>
            </w:r>
          </w:p>
        </w:tc>
        <w:tc>
          <w:tcPr>
            <w:tcW w:w="112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遵守国家法律法规。2.符合国民经济和社会发展总体规划、专项规划、区域规划、产业政策、市场准入标准、资源开发、能耗与环境管理等有关要求。3.政府投资项目，建设单位在报送项目可行性研究报告前，需取得节能审查机关出具的节能审查意见。4.企业投资项目，建设单位需在开工建设前取得节能审查机关出具的节能审查意见。5.年综合能源消费量（建设地点、主要生产工艺和设备未改变的改建项目按照建成投产后年综合能源消费增量计算，其他项目按照建成投产后年综合能源消费量计算，电力折算系数按当量值，下同）10000吨标准煤及以上的固定资产投资项目，其节能审查由市发展改革委负责。其他固定资产投资项目，由与项目管理权限对应的发展改革部门负责进行节能审查。6.如实提供相关材料，报告相关信息。</w:t>
            </w:r>
          </w:p>
        </w:tc>
        <w:tc>
          <w:tcPr>
            <w:tcW w:w="261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节能报告及报送文件</w:t>
            </w:r>
          </w:p>
        </w:tc>
        <w:tc>
          <w:tcPr>
            <w:tcW w:w="377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申请事项是否属于本委权限范围；节能报告内容是否齐全、符合法定形式；审查结果：予以受理或不予受理；完成时限：0.5个工作日。2.审查审查标准：项目内容及申报材料应符合已经对外公布的该行政许可事项办理规程的具体要求，符合国家法律法规规章的相关要求；审查结果：对申请材料进行实质性审查，并提出审查意见；完成时限：4个工作日。3.决定审查标准：本委根据责任处室/科室审查意见作出是否予以通过审查的决定；审查结果：通过审查或提出整改意见；完成时限：1个工作日。4.送达送达方式：邮寄或现场领取；颁发证件：节能审查意见；办理期限：0.5个工作日。</w:t>
            </w:r>
          </w:p>
        </w:tc>
        <w:tc>
          <w:tcPr>
            <w:tcW w:w="88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关于某项目的节能审查意见</w:t>
            </w:r>
          </w:p>
        </w:tc>
        <w:tc>
          <w:tcPr>
            <w:tcW w:w="785" w:type="dxa"/>
            <w:tcBorders>
              <w:top w:val="single" w:color="auto" w:sz="4" w:space="0"/>
              <w:left w:val="single" w:color="000000" w:sz="4" w:space="0"/>
              <w:bottom w:val="single" w:color="auto"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52" w:hRule="atLeast"/>
          <w:jc w:val="center"/>
        </w:trPr>
        <w:tc>
          <w:tcPr>
            <w:tcW w:w="62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lang w:val="en-US" w:eastAsia="zh-CN"/>
              </w:rPr>
            </w:pPr>
            <w:r>
              <w:rPr>
                <w:rFonts w:hint="eastAsia" w:cs="方正仿宋_GBK"/>
                <w:kern w:val="2"/>
                <w:sz w:val="24"/>
                <w:szCs w:val="24"/>
                <w:lang w:val="en-US" w:eastAsia="zh-CN"/>
              </w:rPr>
              <w:t>3</w:t>
            </w:r>
          </w:p>
        </w:tc>
        <w:tc>
          <w:tcPr>
            <w:tcW w:w="169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境外投资项目核准和备案</w:t>
            </w:r>
          </w:p>
        </w:tc>
        <w:tc>
          <w:tcPr>
            <w:tcW w:w="190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p>
        </w:tc>
        <w:tc>
          <w:tcPr>
            <w:tcW w:w="457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4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企业境外投资管理办法》（国家发展改革委令第11号）第十三条第一款实行核准管理的范围是投资主体直接或通过其控制的境外企业开展的敏感类项目。核准机关是国家发展改革委。2.《企业境外投资管理办法》（国家发展改革委令第11号）第十四条第一款、第二款 实行备案管理的范围是投资主体直接开展的非敏感类项目，也即涉及投资主体直接投入资产、权益或提供融资、担保的非敏感类项目。实行备案管理的项目中，投资主体是中央管理企业的（含中央管理金融企业、国务院或国务院所属机构直接管理的企业），备案机关是国家发展改革委；投资主体是地方企业，且中方投资额3亿美元及以上的，备案机关是国家发展改革委；投资主体是地方企业，且中方投资额3亿美元以下的，备案机关是投资主体注册地的省政府发展改革部门。3.《政府核准的投资项目目录（2016年本）》（国发〔2016年〕72号）第十二条 境外投资涉及敏感国家和地区、敏感行业的项目，由国务院投资主管部门核准。前款规定之外的中央管理企业投资项目和地方企业投资3亿美元及以上项目报国务院投资主管部门备案。4.《国务院对确需保留的行政审批项目设定行政许可的决定》（国务院令第412号）附件《国务院决定对确需保留的行政审批项目设定行政许可的目录》第2项 企业境外投资用汇数额审批（不涉及用汇来源、是否购汇以及购汇多少的管理），实施机关国家发展改革委。5.《政府核准的投资项目目录（2016年本）》（国发〔2016年〕72号）十、法律、行政法规和国家有专门规定的，按照有关规定执行。商务主管部门按国家有关规定对外商投资企业的设立和变更、国内企业在境外投资开办企业（金融企业除外）进行审核或备案管理。6.《重庆市企业境外投资管理办法》（渝府发〔2018〕17号）第九条第三款 投资主体是地方企业且中方投资额3亿美元以下的境外投资项目，属市级备案权限，由市发展改革委备案。</w:t>
            </w:r>
          </w:p>
        </w:tc>
        <w:tc>
          <w:tcPr>
            <w:tcW w:w="66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市发展改革委</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7</w:t>
            </w:r>
          </w:p>
        </w:tc>
        <w:tc>
          <w:tcPr>
            <w:tcW w:w="112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center"/>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窗口办理 网上办理</w:t>
            </w:r>
          </w:p>
        </w:tc>
        <w:tc>
          <w:tcPr>
            <w:tcW w:w="3237"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中方投资额不超过3亿美元。2.投资主体不得是中央管理企业（含中央管理金融企业、国务院或国务院所属机构直接管理的企业）。3.投资资金来源真实合规。4.投资项目不涉及敏感国家、地区和敏感行业。5.投资主体直接或通过其控制的境外企业进行投资。6.符合《重庆市企业境外投资管理办法》（渝府发〔2018〕17号）。7.不得违反我国法律法规、不得威胁或损害我国国家利益和国家安全</w:t>
            </w:r>
          </w:p>
        </w:tc>
        <w:tc>
          <w:tcPr>
            <w:tcW w:w="2616"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真实性承诺书；2.投资主体决策文件；3.最新年度或半年度经审计的财务报表；4.具有法律约束力的投资文件；5.境外投资项目备案表；6.资金来源真实性依据；7.境外子公司章程草案；8.投资主体股权架构图；9.关于（项目名称）项目申请备案的请示；10.投资主体注册登记证明文件。</w:t>
            </w:r>
          </w:p>
        </w:tc>
        <w:tc>
          <w:tcPr>
            <w:tcW w:w="3773"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1.申请审查标准：投资主体登录“全国境外投资管理和服务网络系统”注册账号、填报项目信息、上传项目资料；审查结果：是否上传成功；完成时限：0个工作日。2.受理审查标准：申请事项是否属于本委权限范围；申请材料是否完整、有效、合法；审查结果：予以受理或不予受理；完成时限：0.5个工作日。3.审查审查标准：项目内容及申报材料是否符合《重庆市企业境外投资管理办法》（渝府发〔2018〕17号）第二章境外投资项目核准和备案有关规定；审查结果：对申请材料进行实质性审查，提出审查意见；完成时限：1个工作日。4.决定审查标准：本委根据责任处室审查意见作出是否予以备案的决定。审查结果：予以备案或不予备案；完成时限：0.5个工作日。5.送达送达方式：邮寄或自取；颁发证件：境外投资备案通知书；办理期限：0个工作日。</w:t>
            </w:r>
          </w:p>
        </w:tc>
        <w:tc>
          <w:tcPr>
            <w:tcW w:w="882" w:type="dxa"/>
            <w:tcBorders>
              <w:top w:val="single" w:color="auto" w:sz="4" w:space="0"/>
              <w:left w:val="single" w:color="000000" w:sz="4" w:space="0"/>
              <w:bottom w:val="single" w:color="auto" w:sz="4" w:space="0"/>
              <w:right w:val="single" w:color="000000" w:sz="4" w:space="0"/>
            </w:tcBorders>
            <w:shd w:val="clear" w:color="auto" w:fill="auto"/>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境外投资项目备案通知书</w:t>
            </w:r>
          </w:p>
        </w:tc>
        <w:tc>
          <w:tcPr>
            <w:tcW w:w="785" w:type="dxa"/>
            <w:tcBorders>
              <w:top w:val="single" w:color="auto" w:sz="4" w:space="0"/>
              <w:left w:val="single" w:color="000000" w:sz="4" w:space="0"/>
              <w:bottom w:val="single" w:color="auto" w:sz="4" w:space="0"/>
              <w:right w:val="single" w:color="000000" w:sz="4" w:space="0"/>
            </w:tcBorders>
            <w:shd w:val="clear" w:color="auto" w:fill="auto"/>
            <w:noWrap/>
            <w:tcMar>
              <w:top w:w="17" w:type="dxa"/>
              <w:left w:w="74" w:type="dxa"/>
              <w:right w:w="74" w:type="dxa"/>
            </w:tcMar>
            <w:vAlign w:val="center"/>
          </w:tcPr>
          <w:p>
            <w:pPr>
              <w:adjustRightInd/>
              <w:spacing w:line="260" w:lineRule="exact"/>
              <w:jc w:val="both"/>
              <w:textAlignment w:val="auto"/>
              <w:rPr>
                <w:rFonts w:hint="default"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lang w:val="en-US" w:eastAsia="zh-CN"/>
              </w:rPr>
              <w:t>是</w:t>
            </w:r>
          </w:p>
        </w:tc>
      </w:tr>
    </w:tbl>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firstLine="930" w:firstLineChars="300"/>
        <w:textAlignment w:val="auto"/>
        <w:rPr>
          <w:rFonts w:hint="eastAsia" w:ascii="Times New Roman" w:hAnsi="Times New Roman"/>
        </w:rPr>
        <w:sectPr>
          <w:headerReference r:id="rId9" w:type="default"/>
          <w:footerReference r:id="rId10" w:type="default"/>
          <w:pgSz w:w="23811" w:h="16838" w:orient="landscape"/>
          <w:pgMar w:top="1531" w:right="2098" w:bottom="1531" w:left="1984" w:header="850" w:footer="1417" w:gutter="0"/>
          <w:pgBorders>
            <w:top w:val="none" w:sz="0" w:space="0"/>
            <w:left w:val="none" w:sz="0" w:space="0"/>
            <w:bottom w:val="none" w:sz="0" w:space="0"/>
            <w:right w:val="none" w:sz="0" w:space="0"/>
          </w:pgBorders>
          <w:pgNumType w:fmt="decimal"/>
          <w:cols w:space="0" w:num="1"/>
          <w:rtlGutter w:val="0"/>
          <w:docGrid w:type="lines" w:linePitch="579" w:charSpace="0"/>
        </w:sectPr>
      </w:pPr>
    </w:p>
    <w:p>
      <w:pPr>
        <w:widowControl/>
        <w:kinsoku w:val="0"/>
        <w:autoSpaceDE w:val="0"/>
        <w:autoSpaceDN w:val="0"/>
        <w:snapToGrid w:val="0"/>
        <w:spacing w:line="28" w:lineRule="exact"/>
        <w:jc w:val="left"/>
        <w:rPr>
          <w:rFonts w:ascii="Times New Roman" w:hAnsi="Times New Roman" w:eastAsia="Arial" w:cs="Arial"/>
          <w:snapToGrid w:val="0"/>
          <w:color w:val="000000"/>
          <w:kern w:val="0"/>
          <w:sz w:val="21"/>
          <w:szCs w:val="21"/>
          <w:lang w:eastAsia="en-US"/>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240" w:lineRule="auto"/>
        <w:ind w:firstLine="0" w:firstLineChars="0"/>
        <w:textAlignment w:val="auto"/>
        <w:rPr>
          <w:rFonts w:hint="eastAsia" w:ascii="Times New Roman" w:hAnsi="Times New Roman" w:cs="方正仿宋_GBK"/>
          <w:color w:val="auto"/>
          <w:kern w:val="2"/>
          <w:sz w:val="32"/>
          <w:szCs w:val="32"/>
        </w:rPr>
      </w:pPr>
    </w:p>
    <w:p>
      <w:pPr>
        <w:adjustRightInd/>
        <w:spacing w:line="580" w:lineRule="exact"/>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重庆市发展改革系统行政裁量权基准</w:t>
      </w:r>
    </w:p>
    <w:p>
      <w:pPr>
        <w:adjustRightInd/>
        <w:spacing w:line="240" w:lineRule="auto"/>
        <w:jc w:val="both"/>
        <w:textAlignment w:val="auto"/>
        <w:rPr>
          <w:rFonts w:hint="default" w:ascii="Times New Roman" w:hAnsi="Times New Roman" w:eastAsia="宋体" w:cs="Times New Roman"/>
          <w:kern w:val="2"/>
        </w:rPr>
      </w:pPr>
    </w:p>
    <w:p>
      <w:pPr>
        <w:numPr>
          <w:ilvl w:val="-1"/>
          <w:numId w:val="0"/>
        </w:numPr>
        <w:adjustRightInd/>
        <w:spacing w:line="240" w:lineRule="auto"/>
        <w:jc w:val="both"/>
        <w:textAlignment w:val="auto"/>
        <w:rPr>
          <w:rFonts w:hint="eastAsia" w:ascii="Times New Roman" w:hAnsi="Times New Roman" w:eastAsia="方正黑体_GBK" w:cs="方正黑体_GBK"/>
          <w:kern w:val="2"/>
        </w:rPr>
      </w:pPr>
      <w:r>
        <w:rPr>
          <w:rFonts w:hint="eastAsia" w:ascii="Times New Roman" w:hAnsi="Times New Roman" w:eastAsia="方正黑体_GBK" w:cs="方正黑体_GBK"/>
          <w:kern w:val="2"/>
          <w:lang w:eastAsia="zh-CN"/>
        </w:rPr>
        <w:t>二、</w:t>
      </w:r>
      <w:r>
        <w:rPr>
          <w:rFonts w:hint="eastAsia" w:ascii="Times New Roman" w:hAnsi="Times New Roman" w:eastAsia="方正黑体_GBK" w:cs="方正黑体_GBK"/>
          <w:kern w:val="2"/>
        </w:rPr>
        <w:t>重庆市发展改革系统行政检查裁量权基准</w:t>
      </w:r>
    </w:p>
    <w:tbl>
      <w:tblPr>
        <w:tblStyle w:val="14"/>
        <w:tblW w:w="21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9"/>
        <w:gridCol w:w="1770"/>
        <w:gridCol w:w="7986"/>
        <w:gridCol w:w="5427"/>
        <w:gridCol w:w="884"/>
        <w:gridCol w:w="1605"/>
        <w:gridCol w:w="1300"/>
        <w:gridCol w:w="982"/>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8" w:hRule="atLeast"/>
          <w:tblHeader/>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2"/>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2"/>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事项名称</w:t>
            </w:r>
          </w:p>
        </w:tc>
        <w:tc>
          <w:tcPr>
            <w:tcW w:w="798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2"/>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法定依据</w:t>
            </w:r>
          </w:p>
        </w:tc>
        <w:tc>
          <w:tcPr>
            <w:tcW w:w="542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2"/>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事项范围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0"/>
                <w:sz w:val="21"/>
                <w:szCs w:val="21"/>
                <w:u w:val="none"/>
                <w:lang w:val="en-US" w:eastAsia="zh-CN" w:bidi="ar"/>
              </w:rPr>
            </w:pPr>
            <w:r>
              <w:rPr>
                <w:rFonts w:hint="eastAsia" w:ascii="Times New Roman" w:hAnsi="Times New Roman" w:eastAsia="方正黑体_GBK" w:cs="方正黑体_GBK"/>
                <w:i w:val="0"/>
                <w:color w:val="000000"/>
                <w:kern w:val="0"/>
                <w:sz w:val="21"/>
                <w:szCs w:val="21"/>
                <w:u w:val="none"/>
                <w:lang w:val="en-US" w:eastAsia="zh-CN" w:bidi="ar"/>
              </w:rPr>
              <w:t>检查</w:t>
            </w:r>
          </w:p>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2"/>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方式</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2"/>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检查频次</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2"/>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检查权限</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2"/>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是否联合检查</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黑体_GBK" w:cs="方正黑体_GBK"/>
                <w:i w:val="0"/>
                <w:color w:val="000000"/>
                <w:kern w:val="2"/>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是否涉企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9"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节能工作违法行为查处</w:t>
            </w:r>
          </w:p>
        </w:tc>
        <w:tc>
          <w:tcPr>
            <w:tcW w:w="798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w:t>
            </w:r>
            <w:r>
              <w:rPr>
                <w:rFonts w:hint="eastAsia" w:ascii="Times New Roman" w:hAnsi="Times New Roman" w:cs="方正仿宋_GBK"/>
                <w:color w:val="000000"/>
                <w:kern w:val="2"/>
                <w:sz w:val="21"/>
                <w:szCs w:val="21"/>
                <w:u w:val="none"/>
                <w:lang w:val="en-US" w:eastAsia="zh-CN" w:bidi="ar"/>
              </w:rPr>
              <w:t>《固定资产投资项目节能审查办法》（国家发展改革委令2023年第2号）第十九条 节能审查机关应会同相关行业主管部门强化节能审查事中事后监管，组织对项目节能审查意见落实、节能验收等情况进行监督检查。日常监督检查工作应按照“</w:t>
            </w:r>
            <w:r>
              <w:rPr>
                <w:rFonts w:hint="eastAsia" w:cs="方正仿宋_GBK"/>
                <w:color w:val="000000"/>
                <w:kern w:val="2"/>
                <w:sz w:val="21"/>
                <w:szCs w:val="21"/>
                <w:u w:val="none"/>
                <w:lang w:val="en-US" w:eastAsia="zh-CN" w:bidi="ar"/>
              </w:rPr>
              <w:t>双随机、一公开</w:t>
            </w:r>
            <w:r>
              <w:rPr>
                <w:rFonts w:hint="eastAsia" w:ascii="Times New Roman" w:hAnsi="Times New Roman" w:cs="方正仿宋_GBK"/>
                <w:color w:val="000000"/>
                <w:kern w:val="2"/>
                <w:sz w:val="21"/>
                <w:szCs w:val="21"/>
                <w:u w:val="none"/>
                <w:lang w:val="en-US" w:eastAsia="zh-CN" w:bidi="ar"/>
              </w:rPr>
              <w:t>”原则开展。2.《固定资产投资项目节能审查办法》（国家发展改革委令2023年第2号）第二十条</w:t>
            </w:r>
            <w:r>
              <w:rPr>
                <w:rFonts w:hint="default" w:eastAsia="方正仿宋_GBK"/>
                <w:color w:val="000000"/>
                <w:kern w:val="2"/>
                <w:sz w:val="21"/>
                <w:szCs w:val="21"/>
                <w:u w:val="none"/>
                <w:lang w:val="en-US" w:eastAsia="zh-CN" w:bidi="ar"/>
              </w:rPr>
              <w:t> </w:t>
            </w:r>
            <w:r>
              <w:rPr>
                <w:rFonts w:hint="eastAsia" w:ascii="Times New Roman" w:hAnsi="Times New Roman" w:cs="方正仿宋_GBK"/>
                <w:color w:val="000000"/>
                <w:kern w:val="2"/>
                <w:sz w:val="21"/>
                <w:szCs w:val="21"/>
                <w:u w:val="none"/>
                <w:lang w:val="en-US" w:eastAsia="zh-CN" w:bidi="ar"/>
              </w:rPr>
              <w:t>管理节能工作的部门要依法依规履行节能监督管理职责，将节能审查实施情况作为节能监察的重点内容。各级管理节能工作的部门应加强节能审查信息的统计分析，定期调度已投产项目能源消费、能效水平等情况，</w:t>
            </w:r>
            <w:bookmarkStart w:id="0" w:name="_GoBack"/>
            <w:bookmarkEnd w:id="0"/>
            <w:r>
              <w:rPr>
                <w:rFonts w:hint="eastAsia" w:ascii="Times New Roman" w:hAnsi="Times New Roman" w:cs="方正仿宋_GBK"/>
                <w:color w:val="000000"/>
                <w:kern w:val="2"/>
                <w:sz w:val="21"/>
                <w:szCs w:val="21"/>
                <w:u w:val="none"/>
                <w:lang w:val="en-US" w:eastAsia="zh-CN" w:bidi="ar"/>
              </w:rPr>
              <w:t>作为研判节能形势、开展节能工作的重要参考。</w:t>
            </w:r>
          </w:p>
        </w:tc>
        <w:tc>
          <w:tcPr>
            <w:tcW w:w="542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对固定资产投资项目节能审查意见落实、节能验收等情况进行监督检查。</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现场检查</w:t>
            </w:r>
            <w:r>
              <w:rPr>
                <w:rFonts w:hint="eastAsia" w:cs="方正仿宋_GBK"/>
                <w:i w:val="0"/>
                <w:color w:val="000000"/>
                <w:kern w:val="0"/>
                <w:sz w:val="21"/>
                <w:szCs w:val="21"/>
                <w:u w:val="none"/>
                <w:lang w:val="en-US" w:eastAsia="zh-CN" w:bidi="ar"/>
              </w:rPr>
              <w:t>、</w:t>
            </w:r>
            <w:r>
              <w:rPr>
                <w:rFonts w:hint="eastAsia" w:ascii="Times New Roman" w:hAnsi="Times New Roman" w:cs="方正仿宋_GBK"/>
                <w:color w:val="000000"/>
                <w:kern w:val="2"/>
                <w:sz w:val="21"/>
                <w:szCs w:val="21"/>
                <w:u w:val="none"/>
                <w:lang w:val="en-US" w:eastAsia="zh-CN" w:bidi="ar"/>
              </w:rPr>
              <w:t>书面检查</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w:t>
            </w:r>
            <w:r>
              <w:rPr>
                <w:rFonts w:hint="eastAsia" w:ascii="Times New Roman" w:hAnsi="Times New Roman" w:cs="方正仿宋_GBK"/>
                <w:color w:val="000000"/>
                <w:kern w:val="2"/>
                <w:sz w:val="21"/>
                <w:szCs w:val="21"/>
                <w:u w:val="none"/>
                <w:lang w:val="en-US" w:eastAsia="zh-CN" w:bidi="ar"/>
              </w:rPr>
              <w:t>次／年</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市级、区县级发展改革部门</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工程咨询单位备案信息一致性及其他情况抽查</w:t>
            </w:r>
          </w:p>
        </w:tc>
        <w:tc>
          <w:tcPr>
            <w:tcW w:w="798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w:t>
            </w:r>
            <w:r>
              <w:rPr>
                <w:rFonts w:hint="eastAsia" w:ascii="Times New Roman" w:hAnsi="Times New Roman" w:cs="方正仿宋_GBK"/>
                <w:color w:val="000000"/>
                <w:kern w:val="2"/>
                <w:sz w:val="21"/>
                <w:szCs w:val="21"/>
                <w:u w:val="none"/>
                <w:lang w:val="en-US" w:eastAsia="zh-CN" w:bidi="ar"/>
              </w:rPr>
              <w:t>《工程咨询行业管理办法》（国家发展改革委令2023年第1号）第二十七条 国家和省级发展改革委应当依照有关法律法规、本办法及有关规定，制订工程咨询单位监督检查计划，按照一定比例开展抽查，并及时公布抽查结果。监督检查内容主要包括：（一）遵守国家法律法规及有关规定的情况；（二）信息备案情况；（三）咨询质量管理制度建立情况；（四）咨询成果质量情况；（五）咨询成果文件档案建立情况；（六）其他应当检查的内容。2.《工程咨询行业管理办法》（国家发展改革委令2023年第1号）第三十条  工程咨询单位有下列行为之一的，由发展改革部门责令改正；情节严重的，给予警告处罚并从备案名录中移除；已获得资信评价等级的，由开展资信评价的组织取消其评价等级。触犯法律的，依法追究法律责任。（一）备案信息存在弄虚作假或与实际情况不符的；（二）违背独立公正原则，帮助委托单位骗取批准文件和国家资金的；（三）弄虚作假、泄露委托方的商业秘密以及采取不正当竞争手段损害其他工程咨询单位利益的；（四）咨询成果存在严重质量问题的；（五）未建立咨询成果文件完整档案的；（六）伪造、涂改、出租、出借、转让资信评价等级证书的；（七）弄虚作假、提供虚假材料申请资信评价的；（八）弄虚作假、帮助他人申请咨询工程师（投资）登记的；（九）其他违反法律法规的行为。对直接责任人员，由发展改革部门责令改正，或给予警告处罚；涉及咨询工程师（投资）的，按本办法第三十一条处理。</w:t>
            </w:r>
          </w:p>
        </w:tc>
        <w:tc>
          <w:tcPr>
            <w:tcW w:w="542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w:t>
            </w:r>
            <w:r>
              <w:rPr>
                <w:rFonts w:hint="eastAsia" w:ascii="Times New Roman" w:hAnsi="Times New Roman" w:cs="方正仿宋_GBK"/>
                <w:color w:val="000000"/>
                <w:kern w:val="2"/>
                <w:sz w:val="21"/>
                <w:szCs w:val="21"/>
                <w:u w:val="none"/>
                <w:lang w:val="en-US" w:eastAsia="zh-CN" w:bidi="ar"/>
              </w:rPr>
              <w:t>备案信息是否存在弄虚作假或与实际情况不符；2.是否违背独立公正原则，帮助委托单位骗取批准文件和国家资金；3.是否弄虚作假、泄露委托方的商业秘密以及采取不正当竞争手段损害其他工程咨询单位利益；4.咨询成果是否存在严重质量问题；5.是否建立咨询成果文件完整档案；6.是否伪造、涂改、出租、出借、转让资信评价等级证书；7.是否弄虚作假、提供虚假材料申请资信评价；8.是否弄虚作假、帮助他人申请咨询工程师（投资）登记；9.其他违反法律法规的行为。</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实地核查</w:t>
            </w:r>
            <w:r>
              <w:rPr>
                <w:rFonts w:hint="eastAsia" w:cs="方正仿宋_GBK"/>
                <w:i w:val="0"/>
                <w:color w:val="000000"/>
                <w:kern w:val="0"/>
                <w:sz w:val="21"/>
                <w:szCs w:val="21"/>
                <w:u w:val="none"/>
                <w:lang w:val="en-US" w:eastAsia="zh-CN" w:bidi="ar"/>
              </w:rPr>
              <w:t>、</w:t>
            </w:r>
            <w:r>
              <w:rPr>
                <w:rFonts w:hint="eastAsia" w:ascii="Times New Roman" w:hAnsi="Times New Roman" w:cs="方正仿宋_GBK"/>
                <w:color w:val="000000"/>
                <w:kern w:val="2"/>
                <w:sz w:val="21"/>
                <w:szCs w:val="21"/>
                <w:u w:val="none"/>
                <w:lang w:val="en-US" w:eastAsia="zh-CN" w:bidi="ar"/>
              </w:rPr>
              <w:t>书面检查</w:t>
            </w:r>
            <w:r>
              <w:rPr>
                <w:rFonts w:hint="eastAsia" w:cs="方正仿宋_GBK"/>
                <w:color w:val="000000"/>
                <w:kern w:val="2"/>
                <w:sz w:val="21"/>
                <w:szCs w:val="21"/>
                <w:u w:val="none"/>
                <w:lang w:val="en-US" w:eastAsia="zh-CN" w:bidi="ar"/>
              </w:rPr>
              <w:t>、</w:t>
            </w:r>
            <w:r>
              <w:rPr>
                <w:rFonts w:hint="eastAsia" w:ascii="Times New Roman" w:hAnsi="Times New Roman" w:cs="方正仿宋_GBK"/>
                <w:color w:val="000000"/>
                <w:kern w:val="2"/>
                <w:sz w:val="21"/>
                <w:szCs w:val="21"/>
                <w:u w:val="none"/>
                <w:lang w:val="en-US" w:eastAsia="zh-CN" w:bidi="ar"/>
              </w:rPr>
              <w:t>网上抽查</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w:t>
            </w:r>
            <w:r>
              <w:rPr>
                <w:rFonts w:hint="eastAsia" w:ascii="Times New Roman" w:hAnsi="Times New Roman" w:cs="方正仿宋_GBK"/>
                <w:color w:val="000000"/>
                <w:kern w:val="2"/>
                <w:sz w:val="21"/>
                <w:szCs w:val="21"/>
                <w:u w:val="none"/>
                <w:lang w:val="en-US" w:eastAsia="zh-CN" w:bidi="ar"/>
              </w:rPr>
              <w:t>次／年</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市发展改革委</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4"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招标代理机构依法依规开展招标代理业务情况抽查</w:t>
            </w:r>
          </w:p>
        </w:tc>
        <w:tc>
          <w:tcPr>
            <w:tcW w:w="798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4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1.《中华人民共和国招标投标法》（主席令第21号）第七条第一款 招标投标活动及其当事人应当接受依法实施的监督。2.《中华人民共和国招标投标法》（主席令第21号）第七条第二款 有关行政监督部门依法对招标投标活动实施监督，依法查处招标投标活动中的违法行为。3.《中华人民共和国招标投标法》（主席令第21号）第十五条 招标代理机构应当在招标人委托的范围内办理招标事宜，并遵守本法关于招标人的规定。4.《中华人民共和国招标投标法实施条例》（国务院令第613号）第十三条 招标代理机构在招标人委托的范围内开展招标代理业务，任何单位和个人不得非法干涉。招标代理机构代理招标业务，应当遵守招标投标法和本条例关于招标人的规定。招标代理机构不得在所代理的招标项目中投标或者代理投标，也不得为所代理的招标项目的投标人提供咨询。5.《重庆市招标投标条例》（重庆市人民代表大会常务委员会公告〔六届〕第83号）第十七条  招标代理机构应当在招标人委托的范围内办理招标事宜，并遵守法律、法规关于招标人的规定。招标代理机构不得与行政机关和其他国家机关，以及招标投标交易场所运行服务机构存在隶属关系或者其他利益关系。招标代理机构及其从业人员不得有下列行为：（一）采取行贿、提供回扣或者输送不正当利益等非法手段承揽业务；（二）承担同一招标代理项目的投标代理或者投标咨询业务；（三）以他人名义或者允许他人借自己名义承接招标代理业务；（四）转让或者拆分招标代理业务；（五）组织或者参与弄虚作假；（六）违法收取费用；（七）与招标人、投标人、评标专家、交易场所运行服务机构等串通投标；（八）泄露应当保密的与招标投标活动有关的情况和资料；（九）其他损害国家利益、社会公共利益和招标投标活动当事人合法权益的行为。6.《重庆市招标投标条例》（重庆市人民代表大会常务委员会公告〔六届〕第83号）第五十二条  本市推行招标投标资料电子化管理。依法必须进行招标的项目，招标人、招标代理机构、招标投标交易场所运行服务机构应当按照国家有关规定妥善保存招标档案。招标档案的保存期限自合同签订之日起，不少于十五年。</w:t>
            </w:r>
          </w:p>
        </w:tc>
        <w:tc>
          <w:tcPr>
            <w:tcW w:w="542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检查招标代理机构开展代理业务过程中遵守《中华人民共和国招标投标法》等法律法规的情况。</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实地核查</w:t>
            </w:r>
            <w:r>
              <w:rPr>
                <w:rFonts w:hint="eastAsia" w:cs="方正仿宋_GBK"/>
                <w:i w:val="0"/>
                <w:color w:val="000000"/>
                <w:kern w:val="0"/>
                <w:sz w:val="21"/>
                <w:szCs w:val="21"/>
                <w:u w:val="none"/>
                <w:lang w:val="en-US" w:eastAsia="zh-CN" w:bidi="ar"/>
              </w:rPr>
              <w:t>、</w:t>
            </w:r>
            <w:r>
              <w:rPr>
                <w:rFonts w:hint="eastAsia" w:ascii="Times New Roman" w:hAnsi="Times New Roman" w:cs="方正仿宋_GBK"/>
                <w:color w:val="000000"/>
                <w:kern w:val="2"/>
                <w:sz w:val="21"/>
                <w:szCs w:val="21"/>
                <w:u w:val="none"/>
                <w:lang w:val="en-US" w:eastAsia="zh-CN" w:bidi="ar"/>
              </w:rPr>
              <w:t>书面检查</w:t>
            </w:r>
            <w:r>
              <w:rPr>
                <w:rFonts w:hint="eastAsia" w:cs="方正仿宋_GBK"/>
                <w:color w:val="000000"/>
                <w:kern w:val="2"/>
                <w:sz w:val="21"/>
                <w:szCs w:val="21"/>
                <w:u w:val="none"/>
                <w:lang w:val="en-US" w:eastAsia="zh-CN" w:bidi="ar"/>
              </w:rPr>
              <w:t>、</w:t>
            </w:r>
            <w:r>
              <w:rPr>
                <w:rFonts w:hint="eastAsia" w:ascii="Times New Roman" w:hAnsi="Times New Roman" w:cs="方正仿宋_GBK"/>
                <w:color w:val="000000"/>
                <w:kern w:val="2"/>
                <w:sz w:val="21"/>
                <w:szCs w:val="21"/>
                <w:u w:val="none"/>
                <w:lang w:val="en-US" w:eastAsia="zh-CN" w:bidi="ar"/>
              </w:rPr>
              <w:t>网上抽查</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w:t>
            </w:r>
            <w:r>
              <w:rPr>
                <w:rFonts w:hint="eastAsia" w:ascii="Times New Roman" w:hAnsi="Times New Roman" w:cs="方正仿宋_GBK"/>
                <w:color w:val="000000"/>
                <w:kern w:val="2"/>
                <w:sz w:val="21"/>
                <w:szCs w:val="21"/>
                <w:u w:val="none"/>
                <w:lang w:val="en-US" w:eastAsia="zh-CN" w:bidi="ar"/>
              </w:rPr>
              <w:t>次／年</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市级、区县级招标投标行政监督部门</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机电产品国际招标投标活动中招标代理机构依法依规开展招标代理业务情况检查</w:t>
            </w:r>
          </w:p>
        </w:tc>
        <w:tc>
          <w:tcPr>
            <w:tcW w:w="798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4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w:t>
            </w:r>
            <w:r>
              <w:rPr>
                <w:rFonts w:hint="eastAsia" w:ascii="Times New Roman" w:hAnsi="Times New Roman" w:cs="方正仿宋_GBK"/>
                <w:color w:val="000000"/>
                <w:kern w:val="2"/>
                <w:sz w:val="21"/>
                <w:szCs w:val="21"/>
                <w:u w:val="none"/>
                <w:lang w:val="en-US" w:eastAsia="zh-CN" w:bidi="ar"/>
              </w:rPr>
              <w:t>《中华人民共和国招标投标法》（主席令第21号）第七条第一款 招标投标活动及其当事人应当接受依法实施的监督。2.《中华人民共和国招标投标法》（主席令第21号）第七条第二款 有关行政监督部门依法对招标投标活动实施监督，依法查处招标投标活动中的违法行为。3.《中华人民共和国招标投标法》（主席令第21号）第十五条 招标代理机构应当在招标人委托的范围内办理招标事宜，并遵守本法关于招标人的规定。4. 《机电产品国际招标投标实施办法（试行）》（商务部令2014年第1号）第四条第二款 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5. 《机电产品国际招标投标实施办法（试行）》（商务部令2014年第1号）第十二条第四款 招标机构代理招标业务，应当遵守招标投标法、招标投标法实施条例和本办法关于招标人的规定；在招标活动中，不得弄虚作假，损害国家利益、社会公共利益和招标人、投标人的合法权益。第十二条第六款 招标机构不得接受招标人违法的委托内容和要求；不得在所代理的招标项目中投标或者代理投标，也不得为所代理的招标项目的投标人提供咨询。6.《机电产品国际招标投标实施办法（试行）》（商务部令2014年第1号）第九十九条 招标机构有下列行为之一的，依照招标投标法、招标投标法实施条例的有关规定处罚：（一）与招标人、投标人串通损害国家利益、社会公共利益或者他人合法权益的；（二）在所代理的招标项目中投标、代理投标或者向该项目投标人提供咨询的；（三）参加受托编制标底项目的投标或者为该项目的投标人编制投标文件、提供咨询的；（四）泄漏应当保密的与招标投标活动有关的情况和资料的。</w:t>
            </w:r>
          </w:p>
        </w:tc>
        <w:tc>
          <w:tcPr>
            <w:tcW w:w="542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both"/>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检查机电产品国际招标投标活动中招标代理机构遵守《中华人民共和国招标投标法》等法律法规的情况</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实地核查</w:t>
            </w:r>
            <w:r>
              <w:rPr>
                <w:rFonts w:hint="eastAsia" w:cs="方正仿宋_GBK"/>
                <w:i w:val="0"/>
                <w:color w:val="000000"/>
                <w:kern w:val="0"/>
                <w:sz w:val="21"/>
                <w:szCs w:val="21"/>
                <w:u w:val="none"/>
                <w:lang w:val="en-US" w:eastAsia="zh-CN" w:bidi="ar"/>
              </w:rPr>
              <w:t>、</w:t>
            </w:r>
            <w:r>
              <w:rPr>
                <w:rFonts w:hint="eastAsia" w:ascii="Times New Roman" w:hAnsi="Times New Roman" w:cs="方正仿宋_GBK"/>
                <w:color w:val="000000"/>
                <w:kern w:val="2"/>
                <w:sz w:val="21"/>
                <w:szCs w:val="21"/>
                <w:u w:val="none"/>
                <w:lang w:val="en-US" w:eastAsia="zh-CN" w:bidi="ar"/>
              </w:rPr>
              <w:t>书面检查</w:t>
            </w:r>
            <w:r>
              <w:rPr>
                <w:rFonts w:hint="eastAsia" w:cs="方正仿宋_GBK"/>
                <w:color w:val="000000"/>
                <w:kern w:val="2"/>
                <w:sz w:val="21"/>
                <w:szCs w:val="21"/>
                <w:u w:val="none"/>
                <w:lang w:val="en-US" w:eastAsia="zh-CN" w:bidi="ar"/>
              </w:rPr>
              <w:t>、</w:t>
            </w:r>
            <w:r>
              <w:rPr>
                <w:rFonts w:hint="eastAsia" w:ascii="Times New Roman" w:hAnsi="Times New Roman" w:cs="方正仿宋_GBK"/>
                <w:color w:val="000000"/>
                <w:kern w:val="2"/>
                <w:sz w:val="21"/>
                <w:szCs w:val="21"/>
                <w:u w:val="none"/>
                <w:lang w:val="en-US" w:eastAsia="zh-CN" w:bidi="ar"/>
              </w:rPr>
              <w:t>网上抽查</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w:t>
            </w:r>
            <w:r>
              <w:rPr>
                <w:rFonts w:hint="eastAsia" w:ascii="Times New Roman" w:hAnsi="Times New Roman" w:cs="方正仿宋_GBK"/>
                <w:color w:val="000000"/>
                <w:kern w:val="2"/>
                <w:sz w:val="21"/>
                <w:szCs w:val="21"/>
                <w:u w:val="none"/>
                <w:lang w:val="en-US" w:eastAsia="zh-CN" w:bidi="ar"/>
              </w:rPr>
              <w:t>次／年</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市级招标投标行政监督部门</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keepNext w:val="0"/>
              <w:keepLines w:val="0"/>
              <w:widowControl/>
              <w:suppressLineNumbers w:val="0"/>
              <w:adjustRightInd/>
              <w:spacing w:line="260" w:lineRule="exact"/>
              <w:jc w:val="center"/>
              <w:textAlignment w:val="center"/>
              <w:rPr>
                <w:rFonts w:hint="default" w:ascii="Times New Roman" w:hAnsi="Times New Roman" w:eastAsia="方正仿宋_GBK" w:cs="方正仿宋_GBK"/>
                <w:i w:val="0"/>
                <w:color w:val="000000"/>
                <w:kern w:val="2"/>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r>
    </w:tbl>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firstLine="948" w:firstLineChars="300"/>
        <w:textAlignment w:val="auto"/>
        <w:rPr>
          <w:rFonts w:hint="eastAsia" w:ascii="Times New Roman" w:hAnsi="Times New Roman"/>
        </w:rPr>
        <w:sectPr>
          <w:pgSz w:w="23811" w:h="16838" w:orient="landscape"/>
          <w:pgMar w:top="1531" w:right="2098" w:bottom="1531" w:left="1984" w:header="850" w:footer="1417" w:gutter="0"/>
          <w:pgBorders>
            <w:top w:val="none" w:sz="0" w:space="0"/>
            <w:left w:val="none" w:sz="0" w:space="0"/>
            <w:bottom w:val="none" w:sz="0" w:space="0"/>
            <w:right w:val="none" w:sz="0" w:space="0"/>
          </w:pgBorders>
          <w:pgNumType w:fmt="decimal"/>
          <w:cols w:space="720" w:num="1"/>
          <w:rtlGutter w:val="0"/>
          <w:docGrid w:type="linesAndChars" w:linePitch="579" w:charSpace="-849"/>
        </w:sectPr>
      </w:pPr>
    </w:p>
    <w:p>
      <w:pPr>
        <w:numPr>
          <w:ilvl w:val="0"/>
          <w:numId w:val="0"/>
        </w:numPr>
        <w:adjustRightInd/>
        <w:spacing w:line="240" w:lineRule="auto"/>
        <w:jc w:val="both"/>
        <w:textAlignment w:val="auto"/>
        <w:rPr>
          <w:rFonts w:hint="default" w:ascii="Times New Roman" w:hAnsi="Times New Roman" w:eastAsia="宋体" w:cs="Times New Roman"/>
          <w:kern w:val="2"/>
        </w:rPr>
      </w:pPr>
    </w:p>
    <w:p>
      <w:pPr>
        <w:numPr>
          <w:ilvl w:val="0"/>
          <w:numId w:val="0"/>
        </w:numPr>
        <w:adjustRightInd/>
        <w:spacing w:line="580" w:lineRule="exact"/>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重庆市发展改革系统行政裁量权基准</w:t>
      </w:r>
    </w:p>
    <w:p>
      <w:pPr>
        <w:numPr>
          <w:ilvl w:val="0"/>
          <w:numId w:val="0"/>
        </w:numPr>
        <w:adjustRightInd/>
        <w:spacing w:line="240" w:lineRule="auto"/>
        <w:jc w:val="both"/>
        <w:textAlignment w:val="auto"/>
        <w:rPr>
          <w:rFonts w:hint="default" w:ascii="Times New Roman" w:hAnsi="Times New Roman" w:eastAsia="宋体" w:cs="Times New Roman"/>
          <w:kern w:val="2"/>
        </w:rPr>
      </w:pPr>
    </w:p>
    <w:p>
      <w:pPr>
        <w:numPr>
          <w:ilvl w:val="-1"/>
          <w:numId w:val="0"/>
        </w:numPr>
        <w:adjustRightInd/>
        <w:spacing w:line="240" w:lineRule="auto"/>
        <w:jc w:val="both"/>
        <w:textAlignment w:val="auto"/>
        <w:rPr>
          <w:rFonts w:hint="eastAsia" w:ascii="Times New Roman" w:hAnsi="Times New Roman" w:eastAsia="方正黑体_GBK" w:cs="方正黑体_GBK"/>
          <w:kern w:val="2"/>
        </w:rPr>
      </w:pPr>
      <w:r>
        <w:rPr>
          <w:rFonts w:hint="eastAsia" w:ascii="Times New Roman" w:hAnsi="Times New Roman" w:eastAsia="方正黑体_GBK" w:cs="方正黑体_GBK"/>
          <w:kern w:val="2"/>
          <w:lang w:eastAsia="zh-CN"/>
        </w:rPr>
        <w:t>三、</w:t>
      </w:r>
      <w:r>
        <w:rPr>
          <w:rFonts w:hint="eastAsia" w:ascii="Times New Roman" w:hAnsi="Times New Roman" w:eastAsia="方正黑体_GBK" w:cs="方正黑体_GBK"/>
          <w:kern w:val="2"/>
        </w:rPr>
        <w:t>重庆市发展改革系统行政确认裁量权基准</w:t>
      </w:r>
    </w:p>
    <w:tbl>
      <w:tblPr>
        <w:tblStyle w:val="14"/>
        <w:tblW w:w="22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7"/>
        <w:gridCol w:w="1003"/>
        <w:gridCol w:w="1003"/>
        <w:gridCol w:w="4031"/>
        <w:gridCol w:w="3572"/>
        <w:gridCol w:w="2736"/>
        <w:gridCol w:w="6401"/>
        <w:gridCol w:w="1536"/>
        <w:gridCol w:w="910"/>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blHeader/>
          <w:jc w:val="center"/>
        </w:trPr>
        <w:tc>
          <w:tcPr>
            <w:tcW w:w="627" w:type="dxa"/>
            <w:vMerge w:val="restart"/>
            <w:tcBorders>
              <w:top w:val="single" w:color="000000" w:sz="4" w:space="0"/>
              <w:left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序号</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事项名称</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法定依据</w:t>
            </w:r>
          </w:p>
        </w:tc>
        <w:tc>
          <w:tcPr>
            <w:tcW w:w="35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确认条件</w:t>
            </w:r>
          </w:p>
        </w:tc>
        <w:tc>
          <w:tcPr>
            <w:tcW w:w="27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确认程序</w:t>
            </w:r>
          </w:p>
        </w:tc>
        <w:tc>
          <w:tcPr>
            <w:tcW w:w="64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申请材料</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办理时限</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lang w:val="en-US" w:eastAsia="zh-CN"/>
              </w:rPr>
            </w:pPr>
            <w:r>
              <w:rPr>
                <w:rFonts w:hint="eastAsia" w:ascii="Times New Roman" w:hAnsi="Times New Roman" w:eastAsia="方正黑体_GBK" w:cs="方正黑体_GBK"/>
                <w:kern w:val="2"/>
                <w:sz w:val="21"/>
                <w:szCs w:val="21"/>
                <w:lang w:val="en-US" w:eastAsia="zh-CN"/>
              </w:rPr>
              <w:t>执法</w:t>
            </w:r>
          </w:p>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权限</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是否为涉企事项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7" w:hRule="atLeast"/>
          <w:tblHeader/>
          <w:jc w:val="center"/>
        </w:trPr>
        <w:tc>
          <w:tcPr>
            <w:tcW w:w="627" w:type="dxa"/>
            <w:vMerge w:val="continue"/>
            <w:tcBorders>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主项名称</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r>
              <w:rPr>
                <w:rFonts w:hint="eastAsia" w:ascii="Times New Roman" w:hAnsi="Times New Roman" w:eastAsia="方正黑体_GBK" w:cs="方正黑体_GBK"/>
                <w:kern w:val="2"/>
                <w:sz w:val="21"/>
                <w:szCs w:val="21"/>
                <w:lang w:val="en-US" w:eastAsia="zh-CN"/>
              </w:rPr>
              <w:t>子项名称</w:t>
            </w: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p>
        </w:tc>
        <w:tc>
          <w:tcPr>
            <w:tcW w:w="35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p>
        </w:tc>
        <w:tc>
          <w:tcPr>
            <w:tcW w:w="27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p>
        </w:tc>
        <w:tc>
          <w:tcPr>
            <w:tcW w:w="64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黑体_GBK" w:cs="方正黑体_GBK"/>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1-1</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鼓励类内外资项目进口设备免税确认</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鼓励类外资项目进口设备免税确认</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1.《国务院关于调整进口设备税收政策的通知》（国发〔1997〕37号）2.《海关总署关于进一步鼓励外商投资有关进口税收政策的通知》（署税〔1999〕791号）3.《海关总署关于明确减免税政策执行中若干问题的通知》（署税发〔2003〕172号）4.《海关总署关于明确减免税政策执行中若干问题的通知》（署税发〔2003〕422号）5.《国家发展改革委关于办理外商投资项目〈国家鼓励发展的内外资项目确认书〉有关问题的通知》（发改外资〔2006〕316号）6.《国家发展改革委办公厅关于办理国际金融组织和外国政府贷款项目确认书有关事项的通知》（发改办外资〔2006〕408号）7.《关于针对海关在执行相关进口税收优惠政策适用问题的公告》（海关总署、国家发展改革委、财政部、商务部2007年第35号公告）8.《财政部、海关总署、国家税务总局关于对部分进口税收优惠政策进行相应调整的公告》（财政部 海关总署 国家税务总局公告2008年第43号）9.《海关总署办公厅、国家发展改革委办公厅关于进一步明确外商投资项目利用自有资金进口设备税收优惠政策执行中有关问题的通知》（署办税函〔2012〕107号）10.《工业和信息化部、财政部、海关总署、国家税务总局、国家能源局关于调整重大技术装备进口税收政策有关目录的通知（2025）》（工信部联重装〔2025〕26号）11.《财政部、工业和信息化部、海关总署、国家税务总局、国家能源局关于印发〈重大技术装备进口税收政策管理办法〉的通知》（财关税〔2020〕2号）12.《国家发展改革委关于应对疫情进一步深化改革做好外资项目有关工作的通知》（发改外资〔2020〕343号）13.《国家发展改革委关于优化办理外商投资项目《国家鼓励发展的内外资项目确认书》的通知》（发改外资〔2021〕368号）14.《鼓励外商投资产业目录（2022年版）》（国家发展和改革委员会 商务部令第52号）15.《海关总署关于执行&lt;鼓励外商投资产业目录（2022年版）&gt;有关事项的公告》（海关总署公告2022年第122号）</w:t>
            </w:r>
          </w:p>
        </w:tc>
        <w:tc>
          <w:tcPr>
            <w:tcW w:w="3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一）新办鼓励类外资项目免税确认申请范围：符合国家鼓励外商投资产业目录的外资项目（二）自有资金技术改造项目确认登记证明申请范围：对于符合《海关总署关于进一步鼓励外商投资有关进口税收政策的通知》（署税〔1999〕791号，以下简称《通知》）规定条件的外商投资企业利用自有资金进口设备及其配套的技术、配件、备件（以下简称进口设备及其配套件），用于对相关投资项目原有设备进行更新或维修的，如果该投资项目符合现行鼓励类条目，可继续按照《通知》的有关规定和相关政策规定享受进口税收优惠。对于因鼓励类条目调整，有关外商投资项目不再属于鼓励类的，各省、自治区、直辖市和计划单列市投资主管部门不再出具《技术改造项目确认登记证明》，海关不再办理相关外商投资企业利用自有资金进口设备及其配套件的减免税审批手续。（三）确认书变更申请范围：对已办理免税确认的项目，在执行过程中确需变更项目单位、建设内容、项目投资总额、用汇额、执行年限、进口设备清单等主要事项的，可申请变更确认书。</w:t>
            </w:r>
          </w:p>
        </w:tc>
        <w:tc>
          <w:tcPr>
            <w:tcW w:w="2736"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一）新办鼓励类外资项目免税确认办理权限：投资总额3亿美元（不含本数）以下的鼓励类外商投资项目由重庆市发展和改革委员会予以确认。投资总额3亿美元以上的鼓励类外商投资项目由重庆市发展和改革委员会初审后，报国家发展和改革委员会予以确认。（二）自有资金技术改造项目确认登记证明办理权限：投资总额3亿美元（不含本数）以下的鼓励类外商投资项目由重庆市发展和改革委员会予以确认。投资总额3亿美元及以上的鼓励类外商投资项目由重庆市发展和改革委员会初审后，报国家发展和改革委员会予以确认。对同时办理《技术改造项目确认登记证明》《外商投资企业设备更新或技术改造进口国内不能生产的同类设备证明》的项目，不论投资额大小，由重庆市发展和改革委员会初审后，报国家发展和改革委员会予以确认。（三）确认书变更办理权限：由原项目免税确认机关出具变更文件。</w:t>
            </w:r>
          </w:p>
        </w:tc>
        <w:tc>
          <w:tcPr>
            <w:tcW w:w="6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一）新办鼓励类外资项目免税确认1.项目单位申请文件（请示）（一式三份，加盖企业公章，如多页需加盖骑缝章）：①应包含项目单位、项目名称、项目核准或备案情况说明、项目总投资、项目建设内容、项目符合产业政策说明、执行年限、用汇额等；②同一项目符合两个及以上鼓励类产业条目，应就项目各部分符合的产业条目分别说明，用汇额和设备清单也要加以拆分，表述为“某某项目（某某部分）”；③项目部分建设内容符合鼓励类条目，应在项目名称中将符合条目的部分单独标注出来，表述为某某项目（某某部分），项目投资总额、用汇额、进口设备清单均分别标注；如：项目投资总额：XX万美元（其中某某部分XX万美元），项目用汇额：XX万美元（其中某某部分XX万美元）④项目总投资：应与核准或备案文件的项目投资总额保持一致，按实际币种填写，并折合成万美元；⑤项目用汇额：币种应为万美元，与进口设备清单总计相匹配；⑥项目建设内容：主要指项目规划的产能情况，应与备案或核准文件内容一致。2.进口设备清单（一式七份，加盖企业公章，如多页需加盖骑缝章）：①包括一次性确认所有进口设备和分批次确认进口设备两种情况。一次性确认所有进口设备需提供设备总清单；分批次确认进口设备需提供设备总清单、已确认过的设备清单及该批次拟确认的设备清单、情况说明（需说明设备型号、价格、国别未确定的原因等情况）；②国别/地区一栏，最多填2-3个国别或地区，需明确进口的具体国家或保税区；港澳台地区需要写明“中国香港”“中国澳门”“中国台湾”等字样；内地保税区需写明，例如，中国上海外高桥保税区、中国厦门保税区；③规格型号一栏，没有具体规格型号的填“非标”或“定制”；④“文号附表”，由重庆市发展和改革委员会确认的项目填写为“渝发改外资确字〔202 〕  号附表”，由国家发展和改革委员会确认的项目填写为“发改外资确字〔202 〕  号附表”。落款须根据审核权限做相应调整。3.外资项目核准或备案文件（一式三份，加盖企业公章）：4.营业执照（一式三份，加盖企业公章）。5.项目内外资比例情况说明（一式三份，加盖企业公章，如多页需加盖骑缝章）。6.可说明项目符合产业条目的材料（一式三份，加盖企业公章，如多页需加盖骑缝章）：①项目可行性研究报告（如有）；②对需详细说明论证项目符合产业条目的，可单独形成说明文件；③其他证明材料。7.对外方增加注册资本扩大项目投资总额的增资项目，需提供股东会决议、公司章程或验资报告等有关增资的证明材料。（二）确认后续批次进口设备清单1.需提供要件（一式三份，加盖企业公章，如多页需加盖骑缝章）：①项目单位申请文件：应包含已出具确认书情况、设备清单执行情况、本次拟申请确认设备情况等；②已出具的免税确认文件；③设备清单：包括历次已确认的设备清单、本次拟确认的设备清单（一式七份，加盖企业公章，如多页需加盖骑缝章）、设备总清单（总清单有变动的需附情况说明）；④外资项目备案或核准文件；⑤其他需要提供的材料或说明。2.原则上同一项目每年申请不得超过2批。（三）确认书变更1.需提供要件（一式三份，加盖企业公章，如多页需加盖骑缝章）：①项目单位申请文件：应包含已出具确认书情况、设备清单执行情况、需变更事项、变更事由等；②已出具的免税确认文件；③变更事项的前后对比表及有关说明材料；④外资项目备案或核准文件；⑤其他有利于说明变更情况及事由的相关材料。2.对于变更事项较多，拟重新出具项目确认书的，需收回已出具的确认书原件。3.对已出具的项目进口设备清单进行变更的，需收回已出具的进口设备清单，并提供七份变更后的进口设备清单表，加盖企业公章，如多页需加盖骑缝章。4.项目变更应在项目执行期限到期之前提出。（四）技术改造项目确认登记证明1.需提供要件（一式三份，加盖企业公章，如多页需加盖骑缝章）：①项目单位申请文件；②原项目以及技改项目的核准或备案文件；③营业执照；④项目自有资金证明材料，具体是指：企业储备基金、发展基金、折旧和税后利润。⑤设备清单；⑥其他需要提供的材料或说明（如原项目确认书、外商投资证明、可行性研究报告等）。2.技术改造项目如需办理《外商投资企业设备更新或技术改造进口国内不能生产的同类设备证明》，只能在办理第一批设备时提出申请。办理该证明需相关行业专家出具评审意见，说明论证相关设备的技术或参数要求较高，并经公开招标程序证明无国内供应商竞标。3.技改项目再技改也可办理《技术改造项目确认登记证明》，以国家发展和改革委员会解释为准。</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7个工作日。即企业在系统上提交符合规定的全套材料之日起，7个工作日内作出是否予以确认的决定。如需补齐补正的，自企业补齐补正材料之日起，重新开始计算7个工作日。企业提交的资料不能清晰、直观地说明符合产业政策的，可以征求相关行业部门或委托第三方机构评估，征求意见和评估时间不计入办理时限。</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市发展改革委</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7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仿宋_GBK" w:cs="方正仿宋_GBK"/>
                <w:kern w:val="2"/>
                <w:sz w:val="21"/>
                <w:szCs w:val="21"/>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p>
        </w:tc>
        <w:tc>
          <w:tcPr>
            <w:tcW w:w="3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p>
        </w:tc>
        <w:tc>
          <w:tcPr>
            <w:tcW w:w="27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p>
        </w:tc>
        <w:tc>
          <w:tcPr>
            <w:tcW w:w="6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both"/>
              <w:textAlignment w:val="auto"/>
              <w:rPr>
                <w:rFonts w:hint="default" w:ascii="Times New Roman" w:hAnsi="Times New Roman" w:eastAsia="方正仿宋_GBK" w:cs="方正仿宋_GBK"/>
                <w:kern w:val="2"/>
                <w:sz w:val="21"/>
                <w:szCs w:val="21"/>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仿宋_GBK" w:cs="方正仿宋_GBK"/>
                <w:kern w:val="2"/>
                <w:sz w:val="21"/>
                <w:szCs w:val="21"/>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80" w:lineRule="exact"/>
              <w:jc w:val="center"/>
              <w:textAlignment w:val="auto"/>
              <w:rPr>
                <w:rFonts w:hint="default" w:ascii="Times New Roman" w:hAnsi="Times New Roman" w:eastAsia="方正仿宋_GBK" w:cs="方正仿宋_GBK"/>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41"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60" w:lineRule="exact"/>
              <w:jc w:val="center"/>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1-2</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6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鼓励类内外资项目进口设备免税确认</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6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鼓励类内资项目进口设备免税确认</w:t>
            </w:r>
          </w:p>
        </w:tc>
        <w:tc>
          <w:tcPr>
            <w:tcW w:w="40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6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1.《国务院关于调整进口设备税收政策的通知》（国发〔1997〕37号）2.《国家发展和改革委关于办理内资项目〈国家鼓励发展的内外资项目确认书〉有关问题的通知》（发改规划〔2003〕900号）3.《国家发展改革委办公厅关于调整内资项目进口设备免税确认书出具依据等事项的通知》(发改办规划〔2005〕682号)4.《国家发展改革委关于办理外商投资项目〈国家鼓励发展的内外资项目确认书〉有关问题的通知》（发改外资〔2006〕316号）5.《国家发展改革委关于优化办理外商投资项目《国家鼓励发展的内外资项目确认书》的通知》（发改外资〔2021〕368号）6.《产业结构调整指导目录（2024年本）》（国家发展改革委令2023年第7号）</w:t>
            </w:r>
          </w:p>
        </w:tc>
        <w:tc>
          <w:tcPr>
            <w:tcW w:w="35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6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1.《国务院关于调整进口设备税收政策的通知》（国发〔1997〕37号） 二、进口设备免税的管理（一）限额以上项目，由国家计委或国家经贸委分别审批。限额以下项目，由国务院授权的省级人民政府、国务院有关部门、计划单列市人民政府和国家试点企业集团审批，但外商投资项目须按《指导外商投资方向规定》审批。2.《国家发展和改革委关于办理内资项目〈国家鼓励发展的内外资项目确认书〉有关问题的通知》（发改规划〔2003〕900号）：一、关于适用范围。本通知适用于下列符合《当前国家重点鼓励发展的产业、产品和技术目录》的投资项目（以下简称内资项目）的免税确认工作。具体范围包括：（一）国务院和国家发展改革委批准的内资项目；（二）原国家计委和原国家经贸委批准的内资基本建设和技术改造项目；（三）按《国家计委关于取消部分行政审批事项的通知》（计办〔2001〕2440号）规定，由有关单位批准的限额以上内资基本建设项目；（四）国家发展改革委、原国家计委、原国家经贸委授权或委托有关单位批准的限额以上内资项目；（五）国务院授权具有限额以下项目审批权、但无出具免税确认书资格的有关企业批准的限额以下内资项目；（六）国家发展改革委规定的其他内资项目。3.《国家发展和改革委员会办公厅关于调整内资项目进口设备免税确认书出具依据等事项的通知》(发改办规划〔2005〕682号) 3.《国家发展改革委办公厅关于调整内资项目进口设备免税确认书出具依据等事项的通知》(发改办规划〔2005〕682号) 二、项目确认书的出具权限(一)国家鼓励项目进口设备免税确认工作。仍按原项目投资管理权限划分国家发展改革委与国务院有关部门及省级投资主管部门的职责。</w:t>
            </w:r>
          </w:p>
        </w:tc>
        <w:tc>
          <w:tcPr>
            <w:tcW w:w="27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6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1.项目投资主管部门（项目所在地投资主管部门）对免税项目进行初审后，向市发展改革委提出《国家鼓励发展的内资项目确认书》办理申请，加盖本单位公章，并提供相应附件。2.市发展改革委在收到申报材料及附件后7个工作日内，出具免税确认书。由于特殊原因确实难以在7个工作日内作出决定的，经受理部门负责人批准，可以延长至10个工作日，并及时通知项目单位，说明原因。3.对不符合国家鼓励范围的项目，以及申报材料不符合规定的项目，市发展改革委不予出具免税确认书。4.市发展改革委已经出具的确认书，在执行中确需进行延期、增加用汇额度等事项变更的，需由项目单位提出变更申请，由项目所在地区县发展改革部门或开发区管委会有关部门对变更内容及原因初审，并经市发展改革委审核同意后，办理变更手续。</w:t>
            </w:r>
          </w:p>
        </w:tc>
        <w:tc>
          <w:tcPr>
            <w:tcW w:w="640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60" w:lineRule="exact"/>
              <w:jc w:val="both"/>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一）新办鼓励类内资项目免税确认1.企业申请报告2.项目可行性研究报告批复3.项目进口设备清单4.项目审批、核准或备案证书复印件5.项目单位营业执照复印件6.进口设备合同7.相关政策摘录文件（二）确认后续批次进口设备清单1.需提供要件：①项目单位申请文件：应包含已出具确认书情况、设备清单执行情况、本次拟申请设备情况等；②已出具的免税确认文件；③设备清单：包括历次已确认的设备清单、本次拟确认的设备清单、设备总清单（总清单有变动的需附情况说明）；④项目审批、核准或备案文件；⑤其他需要提供的材料或说明。2.原则上同一项目每年申请不得超过2批。（三）确认书变更1.需提供要件：①项目单位申请文件：应包含已出具确认书情况、设备清单执行情况、需变更事项、变更事由等；②已出具的免税确认文件；③变更事项的前后对比表及有关说明材料；④项目审批、核准或备案文件；⑤其他有利于说明变更情况及事由的相关材料。2.对于变更事项较多，拟重新出具项目确认书的，需收回已出具的确认书原件。3.对已出具的项目进口设备清单进行变更的，需收回已出具的进口设备清单，并提供变更后的进口设备清单表，加盖企业公章，如多页需加盖骑缝章。4.项目变更应在项目执行期限到期之前提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60" w:lineRule="exact"/>
              <w:jc w:val="center"/>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7个工作日</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numPr>
                <w:ilvl w:val="-1"/>
                <w:numId w:val="0"/>
              </w:numPr>
              <w:adjustRightInd/>
              <w:spacing w:line="260" w:lineRule="exact"/>
              <w:jc w:val="center"/>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市发展改革委</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numPr>
                <w:ilvl w:val="-1"/>
                <w:numId w:val="0"/>
              </w:numPr>
              <w:adjustRightInd/>
              <w:spacing w:line="260" w:lineRule="exact"/>
              <w:jc w:val="center"/>
              <w:textAlignment w:val="auto"/>
              <w:rPr>
                <w:rFonts w:hint="default" w:ascii="Times New Roman" w:hAnsi="Times New Roman" w:eastAsia="方正仿宋_GBK" w:cs="方正仿宋_GBK"/>
                <w:kern w:val="2"/>
                <w:sz w:val="21"/>
                <w:szCs w:val="21"/>
              </w:rPr>
            </w:pPr>
            <w:r>
              <w:rPr>
                <w:rFonts w:hint="eastAsia" w:ascii="Times New Roman" w:hAnsi="Times New Roman" w:eastAsia="方正仿宋_GBK" w:cs="方正仿宋_GBK"/>
                <w:kern w:val="2"/>
                <w:sz w:val="21"/>
                <w:szCs w:val="21"/>
                <w:lang w:val="en-US" w:eastAsia="zh-CN"/>
              </w:rPr>
              <w:t>是</w:t>
            </w:r>
          </w:p>
        </w:tc>
      </w:tr>
    </w:tbl>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firstLine="918" w:firstLineChars="300"/>
        <w:textAlignment w:val="auto"/>
        <w:rPr>
          <w:rFonts w:hint="eastAsia" w:ascii="Times New Roman" w:hAnsi="Times New Roman"/>
        </w:rPr>
        <w:sectPr>
          <w:pgSz w:w="23811" w:h="16838" w:orient="landscape"/>
          <w:pgMar w:top="1531" w:right="2098" w:bottom="1531" w:left="1984" w:header="850" w:footer="1417" w:gutter="0"/>
          <w:pgBorders>
            <w:top w:val="none" w:sz="0" w:space="0"/>
            <w:left w:val="none" w:sz="0" w:space="0"/>
            <w:bottom w:val="none" w:sz="0" w:space="0"/>
            <w:right w:val="none" w:sz="0" w:space="0"/>
          </w:pgBorders>
          <w:pgNumType w:fmt="decimal"/>
          <w:cols w:space="720" w:num="1"/>
          <w:rtlGutter w:val="0"/>
          <w:docGrid w:type="linesAndChars" w:linePitch="579" w:charSpace="-849"/>
        </w:sectPr>
      </w:pPr>
    </w:p>
    <w:p>
      <w:pPr>
        <w:overflowPunct w:val="0"/>
        <w:adjustRightInd/>
        <w:spacing w:beforeLines="0" w:afterLines="0" w:line="240" w:lineRule="auto"/>
        <w:jc w:val="both"/>
        <w:rPr>
          <w:rFonts w:hint="eastAsia" w:ascii="Times New Roman" w:hAnsi="Times New Roman" w:eastAsia="方正仿宋_GBK" w:cs="方正仿宋_GBK"/>
          <w:color w:val="auto"/>
          <w:sz w:val="32"/>
          <w:szCs w:val="32"/>
          <w:highlight w:val="none"/>
        </w:rPr>
      </w:pPr>
    </w:p>
    <w:p>
      <w:pPr>
        <w:overflowPunct w:val="0"/>
        <w:adjustRightInd/>
        <w:spacing w:beforeLines="0" w:afterLines="0" w:line="240" w:lineRule="auto"/>
        <w:jc w:val="both"/>
        <w:rPr>
          <w:rFonts w:hint="eastAsia" w:ascii="Times New Roman" w:hAnsi="Times New Roman" w:eastAsia="方正仿宋_GBK" w:cs="方正仿宋_GBK"/>
          <w:color w:val="auto"/>
          <w:sz w:val="32"/>
          <w:szCs w:val="32"/>
          <w:highlight w:val="none"/>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ind w:right="0" w:rightChars="0" w:firstLine="0" w:firstLineChars="0"/>
        <w:textAlignment w:val="auto"/>
        <w:rPr>
          <w:rFonts w:hint="eastAsia" w:ascii="Times New Roman" w:hAnsi="Times New Roman" w:eastAsia="方正仿宋_GBK" w:cs="方正仿宋_GBK"/>
          <w:color w:val="auto"/>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ind w:right="0" w:rightChars="0" w:firstLine="0" w:firstLineChars="0"/>
        <w:textAlignment w:val="auto"/>
        <w:rPr>
          <w:rFonts w:hint="eastAsia" w:ascii="Times New Roman" w:hAnsi="Times New Roman" w:eastAsia="方正仿宋_GBK" w:cs="方正仿宋_GBK"/>
          <w:color w:val="auto"/>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ind w:right="0" w:rightChars="0" w:firstLine="0" w:firstLineChars="0"/>
        <w:textAlignment w:val="auto"/>
        <w:rPr>
          <w:rFonts w:hint="eastAsia" w:ascii="Times New Roman" w:hAnsi="Times New Roman" w:eastAsia="方正仿宋_GBK" w:cs="方正仿宋_GBK"/>
          <w:color w:val="auto"/>
          <w:kern w:val="2"/>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widowControl w:val="0"/>
        <w:adjustRightInd w:val="0"/>
        <w:spacing w:afterLines="0" w:afterAutospacing="0" w:line="312" w:lineRule="atLeast"/>
        <w:jc w:val="both"/>
        <w:textAlignment w:val="baseline"/>
        <w:rPr>
          <w:rFonts w:hint="eastAsia" w:ascii="Times New Roman" w:hAnsi="Times New Roman" w:eastAsia="方正仿宋_GBK" w:cs="Times New Roman"/>
          <w:sz w:val="32"/>
          <w:szCs w:val="32"/>
          <w:lang w:val="en-US" w:eastAsia="zh-CN" w:bidi="ar-SA"/>
        </w:rPr>
      </w:pPr>
    </w:p>
    <w:p>
      <w:pPr>
        <w:adjustRightInd/>
        <w:spacing w:after="0" w:line="240" w:lineRule="auto"/>
        <w:ind w:left="0" w:leftChars="0" w:firstLine="0" w:firstLineChars="0"/>
        <w:jc w:val="both"/>
        <w:rPr>
          <w:rFonts w:hint="eastAsia" w:eastAsia="方正黑体_GBK" w:cs="方正黑体_GBK"/>
          <w:color w:val="333333"/>
          <w:szCs w:val="24"/>
        </w:rPr>
      </w:pPr>
    </w:p>
    <w:p>
      <w:pPr>
        <w:overflowPunct/>
        <w:adjustRightInd/>
        <w:spacing w:line="240" w:lineRule="auto"/>
        <w:ind w:firstLine="276" w:firstLineChars="100"/>
        <w:rPr>
          <w:rFonts w:hint="default" w:cs="Times New Roman"/>
          <w:sz w:val="28"/>
          <w:szCs w:val="28"/>
        </w:rPr>
      </w:pPr>
      <w:r>
        <w:rPr>
          <w:rFonts w:hint="eastAsia" w:ascii="Times New Roman" w:hAnsi="Times New Roman" w:eastAsia="方正仿宋_GBK" w:cs="方正仿宋_GBK"/>
          <w:color w:val="000000"/>
          <w:kern w:val="2"/>
          <w:sz w:val="28"/>
          <w:szCs w:val="28"/>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0</wp:posOffset>
                </wp:positionV>
                <wp:extent cx="5627370" cy="15240"/>
                <wp:effectExtent l="0" t="4445" r="11430" b="8890"/>
                <wp:wrapNone/>
                <wp:docPr id="40" name="直接连接符 40"/>
                <wp:cNvGraphicFramePr/>
                <a:graphic xmlns:a="http://schemas.openxmlformats.org/drawingml/2006/main">
                  <a:graphicData uri="http://schemas.microsoft.com/office/word/2010/wordprocessingShape">
                    <wps:wsp>
                      <wps:cNvCnPr/>
                      <wps:spPr>
                        <a:xfrm>
                          <a:off x="0" y="0"/>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0pt;height:1.2pt;width:443.1pt;z-index:251665408;mso-width-relative:page;mso-height-relative:page;" filled="f" stroked="t" coordsize="21600,21600" o:gfxdata="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doMAfUAAAABAEAAA8AAAAAAAAAAQAgAAAAIgAAAGRycy9kb3ducmV2&#10;LnhtbFBLAQIUABQAAAAIAIdO4kBpi8iPxwEAAGADAAAOAAAAAAAAAAEAIAAAACMBAABkcnMvZTJv&#10;RG9jLnhtbFBLBQYAAAAABgAGAFkBAABcBQAAAAA=&#10;">
                <v:fill on="f" focussize="0,0"/>
                <v:stroke weight="0.35pt" color="#000000" joinstyle="round"/>
                <v:imagedata o:title=""/>
                <o:lock v:ext="edit" aspectratio="f"/>
              </v:line>
            </w:pict>
          </mc:Fallback>
        </mc:AlternateContent>
      </w:r>
      <w:r>
        <w:rPr>
          <w:rFonts w:hint="eastAsia" w:ascii="Times New Roman" w:hAnsi="Times New Roman" w:eastAsia="方正仿宋_GBK" w:cs="方正仿宋_GBK"/>
          <w:color w:val="000000"/>
          <w:kern w:val="2"/>
          <w:sz w:val="28"/>
          <w:szCs w:val="28"/>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367665</wp:posOffset>
                </wp:positionV>
                <wp:extent cx="5627370" cy="15240"/>
                <wp:effectExtent l="0" t="4445" r="11430" b="8890"/>
                <wp:wrapNone/>
                <wp:docPr id="41" name="直接连接符 41"/>
                <wp:cNvGraphicFramePr/>
                <a:graphic xmlns:a="http://schemas.openxmlformats.org/drawingml/2006/main">
                  <a:graphicData uri="http://schemas.microsoft.com/office/word/2010/wordprocessingShape">
                    <wps:wsp>
                      <wps:cNvCnPr/>
                      <wps:spPr>
                        <a:xfrm>
                          <a:off x="972185" y="4633595"/>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28.95pt;height:1.2pt;width:443.1pt;z-index:251664384;mso-width-relative:page;mso-height-relative:page;" filled="f" stroked="t" coordsize="21600,21600" o:gfxdata="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wi8aPXAAAABgEAAA8AAAAAAAAAAQAg&#10;AAAAIgAAAGRycy9kb3ducmV2LnhtbFBLAQIUABQAAAAIAIdO4kBfsfrj1gEAAGsDAAAOAAAAAAAA&#10;AAEAIAAAACYBAABkcnMvZTJvRG9jLnhtbFBLBQYAAAAABgAGAFkBAABuBQ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color w:val="000000"/>
          <w:kern w:val="0"/>
          <w:sz w:val="28"/>
          <w:szCs w:val="28"/>
          <w:lang w:val="en-US" w:eastAsia="zh-CN"/>
        </w:rPr>
        <w:t>重庆市发展和改革委员会办公室</w:t>
      </w:r>
      <w:r>
        <w:rPr>
          <w:rFonts w:hint="eastAsia" w:ascii="Times New Roman" w:hAnsi="Times New Roman" w:eastAsia="方正仿宋_GBK" w:cs="方正仿宋_GBK"/>
          <w:color w:val="000000"/>
          <w:kern w:val="2"/>
          <w:sz w:val="28"/>
          <w:szCs w:val="28"/>
          <w:lang w:val="en-US" w:eastAsia="zh-CN"/>
        </w:rPr>
        <w:t xml:space="preserve">  </w:t>
      </w:r>
      <w:r>
        <w:rPr>
          <w:rFonts w:hint="eastAsia" w:ascii="Times New Roman" w:hAnsi="Times New Roman" w:eastAsia="宋体" w:cs="方正仿宋_GBK"/>
          <w:color w:val="000000"/>
          <w:kern w:val="2"/>
          <w:sz w:val="28"/>
          <w:szCs w:val="28"/>
          <w:lang w:val="en-US" w:eastAsia="zh-CN"/>
        </w:rPr>
        <w:t xml:space="preserve"> </w:t>
      </w:r>
      <w:r>
        <w:rPr>
          <w:rFonts w:hint="eastAsia" w:ascii="Times New Roman" w:hAnsi="Times New Roman" w:eastAsia="方正仿宋_GBK" w:cs="方正仿宋_GBK"/>
          <w:color w:val="000000"/>
          <w:kern w:val="2"/>
          <w:sz w:val="28"/>
          <w:szCs w:val="28"/>
          <w:lang w:val="en-US" w:eastAsia="zh-CN"/>
        </w:rPr>
        <w:t xml:space="preserve">      </w:t>
      </w:r>
      <w:r>
        <w:rPr>
          <w:rFonts w:hint="eastAsia" w:cs="方正仿宋_GBK"/>
          <w:color w:val="000000"/>
          <w:kern w:val="2"/>
          <w:sz w:val="28"/>
          <w:szCs w:val="28"/>
          <w:lang w:val="en-US" w:eastAsia="zh-CN"/>
        </w:rPr>
        <w:t xml:space="preserve"> </w:t>
      </w:r>
      <w:r>
        <w:rPr>
          <w:rFonts w:hint="eastAsia" w:ascii="Times New Roman" w:hAnsi="Times New Roman" w:cs="方正仿宋_GBK"/>
          <w:color w:val="000000"/>
          <w:kern w:val="2"/>
          <w:sz w:val="28"/>
          <w:szCs w:val="28"/>
          <w:lang w:val="en-US" w:eastAsia="zh-CN"/>
        </w:rPr>
        <w:t xml:space="preserve"> </w:t>
      </w:r>
      <w:r>
        <w:rPr>
          <w:rFonts w:hint="eastAsia" w:ascii="Times New Roman" w:hAnsi="Times New Roman" w:eastAsia="方正仿宋_GBK" w:cs="方正仿宋_GBK"/>
          <w:color w:val="000000"/>
          <w:kern w:val="2"/>
          <w:sz w:val="28"/>
          <w:szCs w:val="28"/>
          <w:lang w:val="en-US" w:eastAsia="zh-CN"/>
        </w:rPr>
        <w:t xml:space="preserve">   2025年</w:t>
      </w:r>
      <w:r>
        <w:rPr>
          <w:rFonts w:hint="eastAsia" w:ascii="Times New Roman" w:hAnsi="Times New Roman" w:eastAsia="宋体" w:cs="方正仿宋_GBK"/>
          <w:color w:val="000000"/>
          <w:kern w:val="2"/>
          <w:sz w:val="28"/>
          <w:szCs w:val="28"/>
          <w:lang w:val="en-US" w:eastAsia="zh-CN"/>
        </w:rPr>
        <w:t>8</w:t>
      </w:r>
      <w:r>
        <w:rPr>
          <w:rFonts w:hint="eastAsia" w:ascii="Times New Roman" w:hAnsi="Times New Roman" w:eastAsia="方正仿宋_GBK" w:cs="方正仿宋_GBK"/>
          <w:color w:val="000000"/>
          <w:kern w:val="2"/>
          <w:sz w:val="28"/>
          <w:szCs w:val="28"/>
          <w:lang w:val="en-US" w:eastAsia="zh-CN"/>
        </w:rPr>
        <w:t>月</w:t>
      </w:r>
      <w:r>
        <w:rPr>
          <w:rFonts w:hint="eastAsia" w:ascii="Times New Roman" w:hAnsi="Times New Roman" w:eastAsia="宋体" w:cs="方正仿宋_GBK"/>
          <w:color w:val="000000"/>
          <w:kern w:val="2"/>
          <w:sz w:val="28"/>
          <w:szCs w:val="28"/>
          <w:lang w:val="en-US" w:eastAsia="zh-CN"/>
        </w:rPr>
        <w:t>8</w:t>
      </w:r>
      <w:r>
        <w:rPr>
          <w:rFonts w:hint="eastAsia" w:ascii="Times New Roman" w:hAnsi="Times New Roman" w:eastAsia="方正仿宋_GBK" w:cs="方正仿宋_GBK"/>
          <w:color w:val="000000"/>
          <w:kern w:val="2"/>
          <w:sz w:val="28"/>
          <w:szCs w:val="28"/>
          <w:lang w:val="en-US" w:eastAsia="zh-CN"/>
        </w:rPr>
        <w:t xml:space="preserve">日印发  </w:t>
      </w:r>
    </w:p>
    <w:sectPr>
      <w:headerReference r:id="rId11" w:type="default"/>
      <w:footerReference r:id="rId12" w:type="default"/>
      <w:pgSz w:w="11906" w:h="16838"/>
      <w:pgMar w:top="2098" w:right="1531" w:bottom="1984" w:left="1531" w:header="851" w:footer="1417" w:gutter="0"/>
      <w:pgNumType w:fmt="decimal"/>
      <w:cols w:space="720" w:num="1"/>
      <w:rtlGutter w:val="0"/>
      <w:docGrid w:type="linesAndChars" w:linePitch="58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rFonts w:hint="eastAsia"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ztaZ3IAQAAgA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r>
      <w:rPr>
        <w:rFonts w:hint="eastAsia" w:eastAsia="仿宋"/>
        <w:sz w:val="32"/>
        <w:szCs w:val="48"/>
      </w:rPr>
      <w:t xml:space="preserve">  </w:t>
    </w:r>
  </w:p>
  <w:p>
    <w:pPr>
      <w:pStyle w:val="8"/>
      <w:jc w:val="right"/>
      <w:rPr>
        <w:rFonts w:hint="eastAsia"/>
        <w:color w:val="FAFAFA"/>
        <w:sz w:val="28"/>
        <w:szCs w:val="28"/>
      </w:rPr>
    </w:pPr>
    <w:r>
      <w:rPr>
        <w:color w:val="FAFAFA"/>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32" name="直接连接符 32"/>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6el0dQAAAAGAQAADwAAAAAAAAABACAAAAAi&#10;AAAAZHJzL2Rvd25yZXYueG1sUEsBAhQAFAAAAAgAh07iQO9BFALVAQAAdwMAAA4AAAAAAAAAAQAg&#10;AAAAIwEAAGRycy9lMm9Eb2MueG1sUEsFBgAAAAAGAAYAWQEAAGoFAAAAAA==&#10;">
              <v:fill on="f" focussize="0,0"/>
              <v:stroke weight="1.75pt" color="#005192" miterlimit="8" joinstyle="miter"/>
              <v:imagedata o:title=""/>
              <o:lock v:ext="edit" aspectratio="f"/>
            </v:line>
          </w:pict>
        </mc:Fallback>
      </mc:AlternateContent>
    </w:r>
    <w:r>
      <w:rPr>
        <w:rFonts w:hint="eastAsia"/>
        <w:color w:val="FAFAFA"/>
        <w:sz w:val="28"/>
        <w:szCs w:val="28"/>
      </w:rPr>
      <w:t xml:space="preserve"> </w:t>
    </w:r>
  </w:p>
  <w:p>
    <w:pPr>
      <w:pStyle w:val="8"/>
      <w:widowControl w:val="0"/>
      <w:overflowPunct w:val="0"/>
      <w:adjustRightInd/>
      <w:snapToGrid/>
      <w:spacing w:after="0" w:line="240" w:lineRule="auto"/>
      <w:ind w:firstLine="4498" w:firstLineChars="1600"/>
      <w:jc w:val="both"/>
      <w:textAlignment w:val="baseline"/>
      <w:rPr>
        <w:rFonts w:hint="eastAsia" w:ascii="Calibri" w:hAnsi="Calibri" w:eastAsia="宋体" w:cs="Times New Roman"/>
        <w:kern w:val="2"/>
        <w:sz w:val="18"/>
        <w:szCs w:val="18"/>
        <w:lang w:val="en-US" w:eastAsia="zh-CN" w:bidi="ar-SA"/>
      </w:rPr>
    </w:pPr>
    <w:r>
      <w:rPr>
        <w:rFonts w:hint="eastAsia" w:ascii="宋体" w:hAnsi="宋体" w:eastAsia="宋体" w:cs="宋体"/>
        <w:b/>
        <w:bCs/>
        <w:color w:val="005192"/>
        <w:sz w:val="28"/>
        <w:szCs w:val="44"/>
        <w:lang w:eastAsia="zh-CN"/>
      </w:rPr>
      <w:t>重庆市发展和改革委员会发布</w: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after="160" w:line="312" w:lineRule="atLeast"/>
      <w:jc w:val="left"/>
      <w:textAlignment w:val="baseline"/>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13335</wp:posOffset>
              </wp:positionV>
              <wp:extent cx="853440" cy="23050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53440" cy="230505"/>
                      </a:xfrm>
                      <a:prstGeom prst="rect">
                        <a:avLst/>
                      </a:prstGeom>
                      <a:noFill/>
                      <a:ln>
                        <a:noFill/>
                      </a:ln>
                      <a:effectLst/>
                    </wps:spPr>
                    <wps:txbx>
                      <w:txbxContent>
                        <w:p>
                          <w:pPr>
                            <w:widowControl w:val="0"/>
                            <w:adjustRightInd w:val="0"/>
                            <w:snapToGrid w:val="0"/>
                            <w:spacing w:after="160" w:line="312" w:lineRule="atLeast"/>
                            <w:jc w:val="left"/>
                            <w:textAlignment w:val="baseline"/>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PAGE  \* MERGEFORMAT 1 —</w:t>
                          </w:r>
                        </w:p>
                      </w:txbxContent>
                    </wps:txbx>
                    <wps:bodyPr vert="horz" wrap="square" lIns="0" tIns="0" rIns="0" bIns="0" anchor="t" anchorCtr="0" upright="1">
                      <a:spAutoFit/>
                    </wps:bodyPr>
                  </wps:wsp>
                </a:graphicData>
              </a:graphic>
            </wp:anchor>
          </w:drawing>
        </mc:Choice>
        <mc:Fallback>
          <w:pict>
            <v:shape id="_x0000_s1026" o:spid="_x0000_s1026" o:spt="202" type="#_x0000_t202" style="position:absolute;left:0pt;margin-top:1.05pt;height:18.15pt;width:67.2pt;mso-position-horizontal:outside;mso-position-horizontal-relative:margin;z-index:251662336;mso-width-relative:page;mso-height-relative:page;" filled="f" stroked="f" coordsize="21600,21600" o:gfxdata="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R5Xg9MAAAAFAQAADwAAAAAAAAABACAAAAAiAAAAZHJz&#10;L2Rvd25yZXYueG1sUEsBAhQAFAAAAAgAh07iQFwsENTQAQAAgAMAAA4AAAAAAAAAAQAgAAAAIgEA&#10;AGRycy9lMm9Eb2MueG1sUEsFBgAAAAAGAAYAWQEAAGQFAAAAAA==&#10;">
              <v:fill on="f" focussize="0,0"/>
              <v:stroke on="f"/>
              <v:imagedata o:title=""/>
              <o:lock v:ext="edit" aspectratio="f"/>
              <v:textbox inset="0mm,0mm,0mm,0mm" style="mso-fit-shape-to-text:t;">
                <w:txbxContent>
                  <w:p>
                    <w:pPr>
                      <w:widowControl w:val="0"/>
                      <w:adjustRightInd w:val="0"/>
                      <w:snapToGrid w:val="0"/>
                      <w:spacing w:after="160" w:line="312" w:lineRule="atLeast"/>
                      <w:jc w:val="left"/>
                      <w:textAlignment w:val="baseline"/>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PAGE  \* MERGEFORMAT 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Align="center" w:y="1"/>
      <w:widowControl w:val="0"/>
      <w:adjustRightInd w:val="0"/>
      <w:snapToGrid w:val="0"/>
      <w:spacing w:after="160" w:line="312" w:lineRule="atLeast"/>
      <w:ind w:right="314" w:rightChars="98"/>
      <w:jc w:val="center"/>
      <w:textAlignment w:val="baseline"/>
      <w:rPr>
        <w:rFonts w:ascii="Calibri" w:hAnsi="Calibri"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5</w:t>
    </w:r>
    <w:r>
      <w:rPr>
        <w:rFonts w:ascii="Times New Roman" w:hAnsi="Times New Roman" w:eastAsia="宋体" w:cs="Times New Roman"/>
        <w:kern w:val="2"/>
        <w:sz w:val="28"/>
        <w:szCs w:val="28"/>
        <w:lang w:val="en-US" w:eastAsia="zh-CN" w:bidi="ar-SA"/>
      </w:rPr>
      <w:fldChar w:fldCharType="end"/>
    </w:r>
    <w:r>
      <w:rPr>
        <w:rFonts w:hint="eastAsia" w:ascii="Times New Roman" w:hAnsi="Times New Roman" w:eastAsia="宋体" w:cs="Times New Roman"/>
        <w:kern w:val="2"/>
        <w:sz w:val="28"/>
        <w:szCs w:val="28"/>
        <w:lang w:val="en-US" w:eastAsia="zh-CN" w:bidi="ar-SA"/>
      </w:rPr>
      <w:t xml:space="preserve"> —</w:t>
    </w:r>
  </w:p>
  <w:p>
    <w:pPr>
      <w:widowControl w:val="0"/>
      <w:adjustRightInd w:val="0"/>
      <w:snapToGrid w:val="0"/>
      <w:spacing w:after="160" w:line="312" w:lineRule="atLeast"/>
      <w:jc w:val="left"/>
      <w:textAlignment w:val="baseline"/>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overflowPunct w:val="0"/>
      <w:adjustRightInd/>
      <w:snapToGrid/>
      <w:ind w:left="0" w:leftChars="0" w:firstLine="0" w:firstLineChars="0"/>
      <w:jc w:val="both"/>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1JiOrIAQAAgA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p>
    <w:pPr>
      <w:pStyle w:val="8"/>
      <w:jc w:val="right"/>
      <w:rPr>
        <w:rFonts w:hint="eastAsia"/>
        <w:color w:val="FAFAFA"/>
        <w:sz w:val="28"/>
        <w:szCs w:val="28"/>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12527915" cy="1905"/>
              <wp:effectExtent l="0" t="10795" r="6985" b="15875"/>
              <wp:wrapNone/>
              <wp:docPr id="38" name="直接连接符 38"/>
              <wp:cNvGraphicFramePr/>
              <a:graphic xmlns:a="http://schemas.openxmlformats.org/drawingml/2006/main">
                <a:graphicData uri="http://schemas.microsoft.com/office/word/2010/wordprocessingShape">
                  <wps:wsp>
                    <wps:cNvCnPr/>
                    <wps:spPr>
                      <a:xfrm>
                        <a:off x="0" y="0"/>
                        <a:ext cx="1252791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986.45pt;z-index:251660288;mso-width-relative:page;mso-height-relative:page;" filled="f" stroked="t" coordsize="21600,21600" o:gfxdata="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RR28l1AAAAAcBAAAPAAAAAAAAAAEAIAAAACIA&#10;AABkcnMvZG93bnJldi54bWxQSwECFAAUAAAACACHTuJAd9RxzdQBAAB4AwAADgAAAAAAAAABACAA&#10;AAAjAQAAZHJzL2Uyb0RvYy54bWxQSwUGAAAAAAYABgBZAQAAaQUAAAAA&#10;">
              <v:fill on="f" focussize="0,0"/>
              <v:stroke weight="1.75pt" color="#005192" miterlimit="8" joinstyle="miter"/>
              <v:imagedata o:title=""/>
              <o:lock v:ext="edit" aspectratio="f"/>
            </v:line>
          </w:pict>
        </mc:Fallback>
      </mc:AlternateContent>
    </w:r>
  </w:p>
  <w:p>
    <w:pPr>
      <w:pStyle w:val="8"/>
      <w:widowControl w:val="0"/>
      <w:overflowPunct w:val="0"/>
      <w:adjustRightInd/>
      <w:snapToGrid/>
      <w:spacing w:after="0" w:line="240" w:lineRule="auto"/>
      <w:ind w:firstLine="15719" w:firstLineChars="5592"/>
      <w:jc w:val="both"/>
      <w:textAlignment w:val="baseline"/>
      <w:rPr>
        <w:rFonts w:hint="default" w:ascii="Calibri" w:hAnsi="Calibri" w:eastAsia="宋体" w:cs="Times New Roman"/>
        <w:kern w:val="2"/>
        <w:sz w:val="18"/>
        <w:szCs w:val="18"/>
        <w:lang w:val="en-US" w:eastAsia="zh-CN" w:bidi="ar-SA"/>
      </w:rPr>
    </w:pPr>
    <w:r>
      <w:rPr>
        <w:rFonts w:hint="eastAsia" w:ascii="宋体" w:hAnsi="宋体" w:eastAsia="宋体" w:cs="宋体"/>
        <w:b/>
        <w:bCs/>
        <w:color w:val="005192"/>
        <w:sz w:val="28"/>
        <w:szCs w:val="44"/>
        <w:lang w:eastAsia="zh-CN"/>
      </w:rPr>
      <w:t>重庆市发展和改革委员会</w:t>
    </w:r>
    <w:r>
      <w:rPr>
        <w:rFonts w:hint="eastAsia" w:ascii="宋体" w:hAnsi="宋体" w:eastAsia="宋体" w:cs="宋体"/>
        <w:b/>
        <w:bCs/>
        <w:color w:val="005192"/>
        <w:sz w:val="28"/>
        <w:szCs w:val="44"/>
      </w:rPr>
      <w:t xml:space="preserve">发布   </w:t>
    </w:r>
    <w:r>
      <w:rPr>
        <w:rFonts w:hint="eastAsia" w:ascii="宋体" w:hAnsi="宋体" w:eastAsia="宋体" w:cs="宋体"/>
        <w:b/>
        <w:bCs/>
        <w:color w:val="005192"/>
        <w:sz w:val="28"/>
        <w:szCs w:val="44"/>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overflowPunct w:val="0"/>
      <w:adjustRightInd/>
      <w:snapToGrid/>
      <w:ind w:left="0" w:leftChars="0" w:firstLine="0" w:firstLineChars="0"/>
      <w:jc w:val="both"/>
      <w:rPr>
        <w:rFonts w:hint="eastAsia" w:eastAsia="仿宋"/>
        <w:sz w:val="32"/>
        <w:szCs w:val="48"/>
      </w:rPr>
    </w:pPr>
    <w:r>
      <w:rPr>
        <w:sz w:val="32"/>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ApWTROz&#10;AQAAWwMAAA4AAAAAAAAAAQAgAAAAHgEAAGRycy9lMm9Eb2MueG1sUEsFBgAAAAAGAAYAWQEAAEMF&#10;AAAAAA==&#10;">
              <v:fill on="f" focussize="0,0"/>
              <v:stroke on="f"/>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p>
    <w:pPr>
      <w:pStyle w:val="8"/>
      <w:jc w:val="right"/>
      <w:rPr>
        <w:rFonts w:hint="eastAsia"/>
        <w:color w:val="FAFAFA"/>
        <w:sz w:val="28"/>
        <w:szCs w:val="28"/>
      </w:rPr>
    </w:pPr>
    <w:r>
      <w:rPr>
        <w:color w:val="FAFAFA"/>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74295</wp:posOffset>
              </wp:positionV>
              <wp:extent cx="5615940" cy="1905"/>
              <wp:effectExtent l="0" t="10795" r="3810" b="15875"/>
              <wp:wrapNone/>
              <wp:docPr id="15" name="直接连接符 38"/>
              <wp:cNvGraphicFramePr/>
              <a:graphic xmlns:a="http://schemas.openxmlformats.org/drawingml/2006/main">
                <a:graphicData uri="http://schemas.microsoft.com/office/word/2010/wordprocessingShape">
                  <wps:wsp>
                    <wps:cNvCnPr/>
                    <wps:spPr>
                      <a:xfrm>
                        <a:off x="0" y="0"/>
                        <a:ext cx="1252791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38" o:spid="_x0000_s1026" o:spt="20" style="position:absolute;left:0pt;margin-left:0pt;margin-top:5.85pt;height:0.15pt;width:442.2pt;z-index:251667456;mso-width-relative:page;mso-height-relative:page;" filled="f" stroked="t" coordsize="21600,21600" o:gfxdata="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K8Kb/TAAAABgEAAA8AAAAAAAAAAQAgAAAAIgAA&#10;AGRycy9kb3ducmV2LnhtbFBLAQIUABQAAAAIAIdO4kACv9g71AEAAHgDAAAOAAAAAAAAAAEAIAAA&#10;ACIBAABkcnMvZTJvRG9jLnhtbFBLBQYAAAAABgAGAFkBAABoBQAAAAA=&#10;">
              <v:fill on="f" focussize="0,0"/>
              <v:stroke weight="1.75pt" color="#005192" miterlimit="8" joinstyle="miter"/>
              <v:imagedata o:title=""/>
              <o:lock v:ext="edit" aspectratio="f"/>
            </v:line>
          </w:pict>
        </mc:Fallback>
      </mc:AlternateContent>
    </w:r>
  </w:p>
  <w:p>
    <w:pPr>
      <w:pStyle w:val="8"/>
      <w:widowControl w:val="0"/>
      <w:overflowPunct w:val="0"/>
      <w:adjustRightInd/>
      <w:snapToGrid/>
      <w:spacing w:after="0" w:line="240" w:lineRule="auto"/>
      <w:ind w:left="0" w:leftChars="0" w:firstLine="4498" w:firstLineChars="1600"/>
      <w:jc w:val="both"/>
      <w:textAlignment w:val="baseline"/>
      <w:rPr>
        <w:rFonts w:hint="default" w:ascii="Calibri" w:hAnsi="Calibri" w:eastAsia="宋体" w:cs="Times New Roman"/>
        <w:kern w:val="2"/>
        <w:sz w:val="18"/>
        <w:szCs w:val="18"/>
        <w:lang w:val="en-US" w:eastAsia="zh-CN" w:bidi="ar-SA"/>
      </w:rPr>
    </w:pPr>
    <w:r>
      <w:rPr>
        <w:rFonts w:hint="eastAsia" w:ascii="宋体" w:hAnsi="宋体" w:eastAsia="宋体" w:cs="宋体"/>
        <w:b/>
        <w:bCs/>
        <w:color w:val="005192"/>
        <w:sz w:val="28"/>
        <w:szCs w:val="44"/>
        <w:lang w:eastAsia="zh-CN"/>
      </w:rPr>
      <w:t>重庆市发展和改革委员会</w:t>
    </w:r>
    <w:r>
      <w:rPr>
        <w:rFonts w:hint="eastAsia" w:ascii="宋体" w:hAnsi="宋体" w:eastAsia="宋体" w:cs="宋体"/>
        <w:b/>
        <w:bCs/>
        <w:color w:val="005192"/>
        <w:sz w:val="28"/>
        <w:szCs w:val="44"/>
      </w:rPr>
      <w:t xml:space="preserve">发布   </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adjustRightInd/>
      <w:textAlignment w:val="center"/>
      <w:rPr>
        <w:rFonts w:hint="eastAsia"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30" name="直接连接符 30"/>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3EeSs1AAAAAgBAAAPAAAAAAAA&#10;AAEAIAAAACIAAABkcnMvZG93bnJldi54bWxQSwECFAAUAAAACACHTuJAY3e8n90BAAB/AwAADgAA&#10;AAAAAAABACAAAAAjAQAAZHJzL2Uyb0RvYy54bWxQSwUGAAAAAAYABgBZAQAAcgUAAAAA&#10;">
              <v:fill on="f" focussize="0,0"/>
              <v:stroke weight="1.75pt" color="#005192" miterlimit="8" joinstyle="miter"/>
              <v:imagedata o:title=""/>
              <o:lock v:ext="edit" aspectratio="f"/>
            </v:line>
          </w:pict>
        </mc:Fallback>
      </mc:AlternateContent>
    </w:r>
  </w:p>
  <w:p>
    <w:pPr>
      <w:pStyle w:val="9"/>
      <w:adjustRightInd/>
      <w:jc w:val="left"/>
      <w:textAlignment w:val="center"/>
      <w:rPr>
        <w:rFonts w:hint="eastAsia" w:ascii="宋体" w:hAnsi="宋体" w:eastAsia="宋体" w:cs="宋体"/>
        <w:b/>
        <w:bCs/>
        <w:color w:val="005192"/>
        <w:sz w:val="32"/>
      </w:rPr>
    </w:pPr>
    <w:r>
      <w:rPr>
        <w:rFonts w:hint="eastAsia" w:ascii="宋体" w:hAnsi="宋体" w:eastAsia="宋体" w:cs="宋体"/>
        <w:b/>
        <w:bCs/>
        <w:color w:val="005192"/>
        <w:sz w:val="32"/>
      </w:rPr>
      <w:drawing>
        <wp:inline distT="0" distB="0" distL="114300" distR="114300">
          <wp:extent cx="308610" cy="308610"/>
          <wp:effectExtent l="0" t="0" r="15240" b="15240"/>
          <wp:docPr id="19"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重庆市发展和改革委员会</w:t>
    </w:r>
    <w:r>
      <w:rPr>
        <w:rFonts w:hint="eastAsia" w:ascii="宋体" w:hAnsi="宋体" w:eastAsia="宋体" w:cs="宋体"/>
        <w:b/>
        <w:bCs/>
        <w:color w:val="005192"/>
        <w:sz w:val="32"/>
        <w:lang w:eastAsia="zh-Hans"/>
      </w:rPr>
      <w:t>行政规范性文件</w:t>
    </w:r>
  </w:p>
  <w:p>
    <w:pPr>
      <w:widowControl w:val="0"/>
      <w:pBdr>
        <w:bottom w:val="none" w:color="auto" w:sz="0" w:space="0"/>
      </w:pBdr>
      <w:adjustRightInd w:val="0"/>
      <w:snapToGrid w:val="0"/>
      <w:spacing w:after="160" w:line="312" w:lineRule="atLeast"/>
      <w:jc w:val="both"/>
      <w:textAlignment w:val="baseline"/>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adjustRightInd w:val="0"/>
      <w:snapToGrid w:val="0"/>
      <w:spacing w:after="160" w:line="312" w:lineRule="atLeast"/>
      <w:jc w:val="center"/>
      <w:textAlignment w:val="baseline"/>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adjustRightInd w:val="0"/>
      <w:snapToGrid w:val="0"/>
      <w:spacing w:after="160" w:line="312" w:lineRule="atLeast"/>
      <w:jc w:val="center"/>
      <w:textAlignment w:val="baseline"/>
      <w:rPr>
        <w:rFonts w:ascii="Calibri" w:hAnsi="Calibri"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adjustRightInd/>
      <w:textAlignment w:val="center"/>
      <w:rPr>
        <w:rFonts w:hint="eastAsia"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12527915" cy="0"/>
              <wp:effectExtent l="0" t="10795" r="6985" b="17780"/>
              <wp:wrapNone/>
              <wp:docPr id="35" name="直接连接符 35"/>
              <wp:cNvGraphicFramePr/>
              <a:graphic xmlns:a="http://schemas.openxmlformats.org/drawingml/2006/main">
                <a:graphicData uri="http://schemas.microsoft.com/office/word/2010/wordprocessingShape">
                  <wps:wsp>
                    <wps:cNvCnPr/>
                    <wps:spPr>
                      <a:xfrm>
                        <a:off x="4133850" y="864870"/>
                        <a:ext cx="1252791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986.45pt;z-index:251659264;mso-width-relative:page;mso-height-relative:page;" filled="f" stroked="t" coordsize="21600,21600" o:gfxdata="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bfuX1QAAAAkBAAAPAAAA&#10;AAAAAAEAIAAAACIAAABkcnMvZG93bnJldi54bWxQSwECFAAUAAAACACHTuJA2Nch298BAACAAwAA&#10;DgAAAAAAAAABACAAAAAkAQAAZHJzL2Uyb0RvYy54bWxQSwUGAAAAAAYABgBZAQAAdQUAAAAA&#10;">
              <v:fill on="f" focussize="0,0"/>
              <v:stroke weight="1.75pt" color="#005192" miterlimit="8" joinstyle="miter"/>
              <v:imagedata o:title=""/>
              <o:lock v:ext="edit" aspectratio="f"/>
            </v:line>
          </w:pict>
        </mc:Fallback>
      </mc:AlternateContent>
    </w:r>
  </w:p>
  <w:p>
    <w:pPr>
      <w:pStyle w:val="9"/>
      <w:adjustRightInd/>
      <w:jc w:val="left"/>
      <w:textAlignment w:val="center"/>
      <w:rPr>
        <w:rFonts w:hint="eastAsia" w:ascii="宋体" w:hAnsi="宋体" w:eastAsia="宋体" w:cs="宋体"/>
        <w:b/>
        <w:bCs/>
        <w:color w:val="005192"/>
        <w:sz w:val="32"/>
      </w:rPr>
    </w:pPr>
    <w:r>
      <w:rPr>
        <w:rFonts w:hint="eastAsia" w:ascii="宋体" w:hAnsi="宋体" w:eastAsia="宋体" w:cs="宋体"/>
        <w:b/>
        <w:bCs/>
        <w:color w:val="005192"/>
        <w:sz w:val="32"/>
      </w:rPr>
      <w:drawing>
        <wp:inline distT="0" distB="0" distL="114300" distR="114300">
          <wp:extent cx="308610" cy="308610"/>
          <wp:effectExtent l="0" t="0" r="15240" b="15240"/>
          <wp:docPr id="2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重庆市发展和改革委员会</w:t>
    </w:r>
    <w:r>
      <w:rPr>
        <w:rFonts w:hint="eastAsia" w:ascii="宋体" w:hAnsi="宋体" w:eastAsia="宋体" w:cs="宋体"/>
        <w:b/>
        <w:bCs/>
        <w:color w:val="005192"/>
        <w:sz w:val="32"/>
        <w:lang w:eastAsia="zh-Hans"/>
      </w:rPr>
      <w:t>行政规范性文件</w:t>
    </w:r>
  </w:p>
  <w:p>
    <w:pPr>
      <w:widowControl w:val="0"/>
      <w:pBdr>
        <w:bottom w:val="none" w:color="auto" w:sz="0" w:space="0"/>
      </w:pBdr>
      <w:adjustRightInd w:val="0"/>
      <w:snapToGrid w:val="0"/>
      <w:spacing w:after="160" w:line="312" w:lineRule="atLeast"/>
      <w:jc w:val="both"/>
      <w:textAlignment w:val="baseline"/>
      <w:rPr>
        <w:rFonts w:ascii="Calibri" w:hAnsi="Calibri"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adjustRightInd/>
      <w:textAlignment w:val="center"/>
      <w:rPr>
        <w:rFonts w:hint="eastAsia"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690245</wp:posOffset>
              </wp:positionV>
              <wp:extent cx="5615940" cy="0"/>
              <wp:effectExtent l="0" t="10795" r="3810" b="17780"/>
              <wp:wrapNone/>
              <wp:docPr id="12" name="直接连接符 35"/>
              <wp:cNvGraphicFramePr/>
              <a:graphic xmlns:a="http://schemas.openxmlformats.org/drawingml/2006/main">
                <a:graphicData uri="http://schemas.microsoft.com/office/word/2010/wordprocessingShape">
                  <wps:wsp>
                    <wps:cNvCnPr/>
                    <wps:spPr>
                      <a:xfrm>
                        <a:off x="4133850" y="864870"/>
                        <a:ext cx="1252791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35" o:spid="_x0000_s1026" o:spt="20" style="position:absolute;left:0pt;margin-left:0pt;margin-top:54.35pt;height:0pt;width:442.2pt;z-index:251666432;mso-width-relative:page;mso-height-relative:page;" filled="f" stroked="t" coordsize="21600,21600" o:gfxdata="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6wYHI1AAAAAgBAAAPAAAA&#10;AAAAAAEAIAAAACIAAABkcnMvZG93bnJldi54bWxQSwECFAAUAAAACACHTuJA2BKWd+ABAACAAwAA&#10;DgAAAAAAAAABACAAAAAjAQAAZHJzL2Uyb0RvYy54bWxQSwUGAAAAAAYABgBZAQAAdQUAAAAA&#10;">
              <v:fill on="f" focussize="0,0"/>
              <v:stroke weight="1.75pt" color="#005192" miterlimit="8" joinstyle="miter"/>
              <v:imagedata o:title=""/>
              <o:lock v:ext="edit" aspectratio="f"/>
            </v:line>
          </w:pict>
        </mc:Fallback>
      </mc:AlternateContent>
    </w:r>
  </w:p>
  <w:p>
    <w:pPr>
      <w:pStyle w:val="9"/>
      <w:adjustRightInd/>
      <w:jc w:val="left"/>
      <w:textAlignment w:val="center"/>
      <w:rPr>
        <w:rFonts w:hint="eastAsia" w:ascii="宋体" w:hAnsi="宋体" w:eastAsia="宋体" w:cs="宋体"/>
        <w:b/>
        <w:bCs/>
        <w:color w:val="005192"/>
        <w:sz w:val="32"/>
      </w:rPr>
    </w:pPr>
    <w:r>
      <w:rPr>
        <w:rFonts w:hint="eastAsia" w:ascii="宋体" w:hAnsi="宋体" w:eastAsia="宋体" w:cs="宋体"/>
        <w:b/>
        <w:bCs/>
        <w:color w:val="005192"/>
        <w:sz w:val="32"/>
      </w:rPr>
      <w:drawing>
        <wp:inline distT="0" distB="0" distL="114300" distR="114300">
          <wp:extent cx="308610" cy="308610"/>
          <wp:effectExtent l="0" t="0" r="15240" b="15240"/>
          <wp:docPr id="26"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重庆市发展和改革委员会</w:t>
    </w:r>
    <w:r>
      <w:rPr>
        <w:rFonts w:hint="eastAsia" w:ascii="宋体" w:hAnsi="宋体" w:eastAsia="宋体" w:cs="宋体"/>
        <w:b/>
        <w:bCs/>
        <w:color w:val="005192"/>
        <w:sz w:val="32"/>
        <w:lang w:eastAsia="zh-Hans"/>
      </w:rPr>
      <w:t>行政规范性文件</w:t>
    </w:r>
  </w:p>
  <w:p>
    <w:pPr>
      <w:widowControl w:val="0"/>
      <w:pBdr>
        <w:bottom w:val="none" w:color="auto" w:sz="0" w:space="0"/>
      </w:pBdr>
      <w:adjustRightInd w:val="0"/>
      <w:snapToGrid w:val="0"/>
      <w:spacing w:after="160" w:line="312" w:lineRule="atLeast"/>
      <w:jc w:val="both"/>
      <w:textAlignment w:val="baseline"/>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320"/>
  <w:drawingGridVerticalSpacing w:val="290"/>
  <w:displayHorizontalDrawingGridEvery w:val="0"/>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jI0Mzc2ZjIyZjY1YWY5MGM1NmE2ZGQxZTliNWMifQ=="/>
  </w:docVars>
  <w:rsids>
    <w:rsidRoot w:val="00172A27"/>
    <w:rsid w:val="006004F6"/>
    <w:rsid w:val="00FF28FF"/>
    <w:rsid w:val="010C5CCC"/>
    <w:rsid w:val="018038CE"/>
    <w:rsid w:val="019E71BD"/>
    <w:rsid w:val="01C066B5"/>
    <w:rsid w:val="035F6E36"/>
    <w:rsid w:val="041C42DA"/>
    <w:rsid w:val="04B679C3"/>
    <w:rsid w:val="057416C2"/>
    <w:rsid w:val="05964A65"/>
    <w:rsid w:val="05F07036"/>
    <w:rsid w:val="064E7294"/>
    <w:rsid w:val="06E00104"/>
    <w:rsid w:val="07AC7F00"/>
    <w:rsid w:val="080F63D8"/>
    <w:rsid w:val="090F72F6"/>
    <w:rsid w:val="09341458"/>
    <w:rsid w:val="098254C2"/>
    <w:rsid w:val="0A766EDE"/>
    <w:rsid w:val="0AD64BE8"/>
    <w:rsid w:val="0B0912D7"/>
    <w:rsid w:val="0D6E5E17"/>
    <w:rsid w:val="0DA472A8"/>
    <w:rsid w:val="0E025194"/>
    <w:rsid w:val="0E46660E"/>
    <w:rsid w:val="0E6D4BB0"/>
    <w:rsid w:val="0FEA2F87"/>
    <w:rsid w:val="11C5254F"/>
    <w:rsid w:val="152D2DCA"/>
    <w:rsid w:val="158B21FA"/>
    <w:rsid w:val="15D5325E"/>
    <w:rsid w:val="16593889"/>
    <w:rsid w:val="16D31800"/>
    <w:rsid w:val="16DA5F29"/>
    <w:rsid w:val="17130662"/>
    <w:rsid w:val="187168EA"/>
    <w:rsid w:val="196673CA"/>
    <w:rsid w:val="1B2F4AEE"/>
    <w:rsid w:val="1BF51C2F"/>
    <w:rsid w:val="1C265200"/>
    <w:rsid w:val="1CF734C9"/>
    <w:rsid w:val="1DBD3805"/>
    <w:rsid w:val="1DEC284C"/>
    <w:rsid w:val="1E0C2A0F"/>
    <w:rsid w:val="1E6523AC"/>
    <w:rsid w:val="1ED033E5"/>
    <w:rsid w:val="20A36C18"/>
    <w:rsid w:val="2222036B"/>
    <w:rsid w:val="22440422"/>
    <w:rsid w:val="2297614E"/>
    <w:rsid w:val="22BB4BBB"/>
    <w:rsid w:val="22C27ADF"/>
    <w:rsid w:val="23E357E2"/>
    <w:rsid w:val="25DE7970"/>
    <w:rsid w:val="273A3A94"/>
    <w:rsid w:val="29B178ED"/>
    <w:rsid w:val="29BD145D"/>
    <w:rsid w:val="2A6157DC"/>
    <w:rsid w:val="2AEB3417"/>
    <w:rsid w:val="2B680A29"/>
    <w:rsid w:val="2C3A56F8"/>
    <w:rsid w:val="2CD06097"/>
    <w:rsid w:val="2CEB0E7D"/>
    <w:rsid w:val="2D502E74"/>
    <w:rsid w:val="2DCC28F7"/>
    <w:rsid w:val="2E7C1FAD"/>
    <w:rsid w:val="2EFC19D5"/>
    <w:rsid w:val="2F397D25"/>
    <w:rsid w:val="2F541F27"/>
    <w:rsid w:val="2FD66B2C"/>
    <w:rsid w:val="30A626AA"/>
    <w:rsid w:val="31A15F24"/>
    <w:rsid w:val="324A1681"/>
    <w:rsid w:val="34F032E6"/>
    <w:rsid w:val="34F12209"/>
    <w:rsid w:val="34FD541C"/>
    <w:rsid w:val="36FB1DF0"/>
    <w:rsid w:val="37A7012D"/>
    <w:rsid w:val="383E69ED"/>
    <w:rsid w:val="395347B5"/>
    <w:rsid w:val="39A232A0"/>
    <w:rsid w:val="39E745AA"/>
    <w:rsid w:val="3A7C16A5"/>
    <w:rsid w:val="3A9F4843"/>
    <w:rsid w:val="3B5A6BBB"/>
    <w:rsid w:val="3C1949F5"/>
    <w:rsid w:val="3C290571"/>
    <w:rsid w:val="3C925BC2"/>
    <w:rsid w:val="3D437488"/>
    <w:rsid w:val="3D6A2620"/>
    <w:rsid w:val="3E2E249C"/>
    <w:rsid w:val="3EDA13A6"/>
    <w:rsid w:val="40EE539A"/>
    <w:rsid w:val="417B75E9"/>
    <w:rsid w:val="42F058B7"/>
    <w:rsid w:val="436109F6"/>
    <w:rsid w:val="441A38D4"/>
    <w:rsid w:val="44AD587C"/>
    <w:rsid w:val="44EC6F8B"/>
    <w:rsid w:val="4504239D"/>
    <w:rsid w:val="45DC6944"/>
    <w:rsid w:val="46FF2A7C"/>
    <w:rsid w:val="471830E2"/>
    <w:rsid w:val="471F364A"/>
    <w:rsid w:val="4A1505F1"/>
    <w:rsid w:val="4AD86038"/>
    <w:rsid w:val="4BC77339"/>
    <w:rsid w:val="4BF22B1F"/>
    <w:rsid w:val="4C5C0629"/>
    <w:rsid w:val="4C9236C5"/>
    <w:rsid w:val="4E250A85"/>
    <w:rsid w:val="4E464D75"/>
    <w:rsid w:val="4E897B30"/>
    <w:rsid w:val="4ECF272A"/>
    <w:rsid w:val="4F442AF1"/>
    <w:rsid w:val="4F551E0D"/>
    <w:rsid w:val="4FFD4925"/>
    <w:rsid w:val="5007166E"/>
    <w:rsid w:val="505C172E"/>
    <w:rsid w:val="50631597"/>
    <w:rsid w:val="506405EA"/>
    <w:rsid w:val="51544F64"/>
    <w:rsid w:val="51583969"/>
    <w:rsid w:val="52A665A4"/>
    <w:rsid w:val="52F46F0B"/>
    <w:rsid w:val="532B6A10"/>
    <w:rsid w:val="53D8014D"/>
    <w:rsid w:val="55003B4B"/>
    <w:rsid w:val="5538144F"/>
    <w:rsid w:val="55B27C89"/>
    <w:rsid w:val="55E064E0"/>
    <w:rsid w:val="5648259F"/>
    <w:rsid w:val="56C2396B"/>
    <w:rsid w:val="56DA7AE2"/>
    <w:rsid w:val="572C6D10"/>
    <w:rsid w:val="57732A03"/>
    <w:rsid w:val="579F129B"/>
    <w:rsid w:val="582273E4"/>
    <w:rsid w:val="5B124A86"/>
    <w:rsid w:val="5C075CB8"/>
    <w:rsid w:val="5C7C10DB"/>
    <w:rsid w:val="5D64606E"/>
    <w:rsid w:val="5DC34279"/>
    <w:rsid w:val="5E520039"/>
    <w:rsid w:val="5E8A52F7"/>
    <w:rsid w:val="5F28491C"/>
    <w:rsid w:val="5FCD688E"/>
    <w:rsid w:val="5FF9BDAA"/>
    <w:rsid w:val="5FFE5333"/>
    <w:rsid w:val="608816D1"/>
    <w:rsid w:val="60EF4E7F"/>
    <w:rsid w:val="6191307D"/>
    <w:rsid w:val="62824B28"/>
    <w:rsid w:val="646A6756"/>
    <w:rsid w:val="64866D7B"/>
    <w:rsid w:val="648B0A32"/>
    <w:rsid w:val="64ED51E3"/>
    <w:rsid w:val="65A940EB"/>
    <w:rsid w:val="665233C1"/>
    <w:rsid w:val="668D492D"/>
    <w:rsid w:val="66D26B9B"/>
    <w:rsid w:val="68DD1EDB"/>
    <w:rsid w:val="699F2174"/>
    <w:rsid w:val="69AC0D42"/>
    <w:rsid w:val="6A817394"/>
    <w:rsid w:val="6AD9688B"/>
    <w:rsid w:val="6BC66237"/>
    <w:rsid w:val="6C8D5649"/>
    <w:rsid w:val="6CF37A79"/>
    <w:rsid w:val="6D0E3F22"/>
    <w:rsid w:val="6DA715C5"/>
    <w:rsid w:val="6E131B1B"/>
    <w:rsid w:val="72DB2365"/>
    <w:rsid w:val="744E4660"/>
    <w:rsid w:val="74776C27"/>
    <w:rsid w:val="753355A2"/>
    <w:rsid w:val="75854E0E"/>
    <w:rsid w:val="758D227B"/>
    <w:rsid w:val="7598175E"/>
    <w:rsid w:val="759F1C61"/>
    <w:rsid w:val="769F2DE8"/>
    <w:rsid w:val="76FDEB7C"/>
    <w:rsid w:val="777F7788"/>
    <w:rsid w:val="79812449"/>
    <w:rsid w:val="79C65162"/>
    <w:rsid w:val="7AE32C79"/>
    <w:rsid w:val="7BB71922"/>
    <w:rsid w:val="7BBC7BA2"/>
    <w:rsid w:val="7C143ADE"/>
    <w:rsid w:val="7C572CA5"/>
    <w:rsid w:val="7C9011D9"/>
    <w:rsid w:val="7CCB792A"/>
    <w:rsid w:val="7DC651C5"/>
    <w:rsid w:val="7DF350ED"/>
    <w:rsid w:val="7E725FF8"/>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5">
    <w:name w:val="annotation text"/>
    <w:basedOn w:val="1"/>
    <w:qFormat/>
    <w:uiPriority w:val="0"/>
    <w:pPr>
      <w:jc w:val="left"/>
    </w:pPr>
  </w:style>
  <w:style w:type="paragraph" w:styleId="6">
    <w:name w:val="Body Text Indent"/>
    <w:basedOn w:val="1"/>
    <w:qFormat/>
    <w:uiPriority w:val="0"/>
    <w:pPr>
      <w:spacing w:after="120"/>
      <w:ind w:left="420" w:leftChars="200"/>
    </w:pPr>
  </w:style>
  <w:style w:type="paragraph" w:styleId="7">
    <w:name w:val="Balloon Text"/>
    <w:basedOn w:val="1"/>
    <w:link w:val="19"/>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Arial" w:hAnsi="Arial" w:cs="Arial"/>
      <w:b/>
      <w:bCs/>
      <w:sz w:val="32"/>
      <w:szCs w:val="32"/>
    </w:rPr>
  </w:style>
  <w:style w:type="paragraph" w:styleId="12">
    <w:name w:val="Body Text First Indent"/>
    <w:basedOn w:val="2"/>
    <w:qFormat/>
    <w:uiPriority w:val="0"/>
    <w:pPr>
      <w:ind w:firstLine="420" w:firstLineChars="100"/>
    </w:pPr>
  </w:style>
  <w:style w:type="paragraph" w:styleId="13">
    <w:name w:val="Body Text First Indent 2"/>
    <w:basedOn w:val="6"/>
    <w:next w:val="12"/>
    <w:qFormat/>
    <w:uiPriority w:val="0"/>
    <w:pPr>
      <w:ind w:firstLine="420" w:firstLineChars="200"/>
    </w:p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character" w:customStyle="1" w:styleId="19">
    <w:name w:val="批注框文本 Char"/>
    <w:basedOn w:val="16"/>
    <w:link w:val="7"/>
    <w:qFormat/>
    <w:uiPriority w:val="0"/>
    <w:rPr>
      <w:rFonts w:eastAsia="方正仿宋_GBK"/>
      <w:sz w:val="18"/>
      <w:szCs w:val="18"/>
    </w:rPr>
  </w:style>
  <w:style w:type="paragraph" w:customStyle="1" w:styleId="20">
    <w:name w:val="Body text|1"/>
    <w:basedOn w:val="1"/>
    <w:qFormat/>
    <w:uiPriority w:val="0"/>
    <w:pPr>
      <w:spacing w:line="410" w:lineRule="auto"/>
      <w:ind w:firstLine="400"/>
    </w:pPr>
    <w:rPr>
      <w:rFonts w:ascii="宋体" w:hAnsi="宋体" w:eastAsia="宋体" w:cs="宋体"/>
      <w:sz w:val="30"/>
      <w:szCs w:val="30"/>
      <w:lang w:val="zh-TW" w:eastAsia="zh-TW" w:bidi="zh-TW"/>
    </w:rPr>
  </w:style>
  <w:style w:type="paragraph" w:customStyle="1" w:styleId="21">
    <w:name w:val="方正仿宋"/>
    <w:basedOn w:val="1"/>
    <w:qFormat/>
    <w:uiPriority w:val="0"/>
    <w:pPr>
      <w:adjustRightInd/>
      <w:spacing w:line="240" w:lineRule="auto"/>
      <w:ind w:firstLine="620" w:firstLineChars="200"/>
    </w:pPr>
  </w:style>
  <w:style w:type="paragraph" w:customStyle="1" w:styleId="22">
    <w:name w:val="p0"/>
    <w:basedOn w:val="1"/>
    <w:qFormat/>
    <w:uiPriority w:val="0"/>
    <w:pPr>
      <w:widowControl/>
    </w:pPr>
    <w:rPr>
      <w:rFonts w:ascii="Calibri" w:hAnsi="Calibri" w:eastAsia="宋体" w:cs="宋体"/>
      <w:kern w:val="0"/>
      <w:szCs w:val="32"/>
    </w:rPr>
  </w:style>
  <w:style w:type="paragraph" w:customStyle="1" w:styleId="23">
    <w:name w:val="正文首缩两字 Char"/>
    <w:basedOn w:val="1"/>
    <w:qFormat/>
    <w:uiPriority w:val="99"/>
    <w:rPr>
      <w:rFonts w:ascii="Verdana" w:hAnsi="Verdana"/>
      <w:bCs/>
    </w:rPr>
  </w:style>
  <w:style w:type="paragraph" w:customStyle="1" w:styleId="24">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13"/>
      <w:szCs w:val="13"/>
      <w:lang w:val="en-US" w:eastAsia="en-US" w:bidi="ar-SA"/>
    </w:rPr>
  </w:style>
  <w:style w:type="character" w:customStyle="1" w:styleId="25">
    <w:name w:val="font51"/>
    <w:basedOn w:val="16"/>
    <w:qFormat/>
    <w:uiPriority w:val="0"/>
    <w:rPr>
      <w:rFonts w:hint="eastAsia"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627</Words>
  <Characters>3574</Characters>
  <Lines>29</Lines>
  <Paragraphs>8</Paragraphs>
  <TotalTime>5</TotalTime>
  <ScaleCrop>false</ScaleCrop>
  <LinksUpToDate>false</LinksUpToDate>
  <CharactersWithSpaces>4193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闫帅举</cp:lastModifiedBy>
  <cp:lastPrinted>2022-05-12T00:46:00Z</cp:lastPrinted>
  <dcterms:modified xsi:type="dcterms:W3CDTF">2025-08-25T01:56:23Z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0EC071CCF9644D369136898C507E6617</vt:lpwstr>
  </property>
</Properties>
</file>