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beforeLines="0" w:afterLines="0" w:line="240" w:lineRule="auto"/>
        <w:rPr>
          <w:rFonts w:ascii="Times New Roman" w:hAnsi="Times New Roman" w:cs="方正仿宋_GBK"/>
          <w:bCs/>
        </w:rPr>
      </w:pPr>
    </w:p>
    <w:p>
      <w:pPr>
        <w:adjustRightInd/>
        <w:spacing w:beforeLines="0" w:afterLines="0" w:line="240" w:lineRule="auto"/>
        <w:rPr>
          <w:rFonts w:ascii="Times New Roman" w:hAnsi="Times New Roman" w:cs="方正仿宋_GBK"/>
          <w:bCs/>
        </w:rPr>
      </w:pPr>
    </w:p>
    <w:p>
      <w:pPr>
        <w:adjustRightInd/>
        <w:spacing w:beforeLines="0" w:afterLines="0" w:line="240" w:lineRule="auto"/>
        <w:rPr>
          <w:rFonts w:ascii="Times New Roman" w:hAnsi="Times New Roman" w:cs="方正仿宋_GBK"/>
          <w:bCs/>
        </w:rPr>
      </w:pPr>
    </w:p>
    <w:p>
      <w:pPr>
        <w:adjustRightInd/>
        <w:spacing w:beforeLines="0" w:afterLines="0" w:line="240" w:lineRule="auto"/>
        <w:rPr>
          <w:bCs/>
        </w:rPr>
      </w:pPr>
    </w:p>
    <w:p>
      <w:pPr>
        <w:adjustRightInd/>
        <w:spacing w:beforeLines="0" w:afterLines="0" w:line="240" w:lineRule="auto"/>
        <w:rPr>
          <w:bCs/>
        </w:rPr>
      </w:pPr>
    </w:p>
    <w:p>
      <w:pPr>
        <w:adjustRightInd/>
        <w:spacing w:beforeLines="0" w:afterLines="0" w:line="240" w:lineRule="auto"/>
        <w:jc w:val="center"/>
        <w:rPr>
          <w:rFonts w:eastAsia="宋体"/>
          <w:kern w:val="2"/>
        </w:rPr>
      </w:pPr>
    </w:p>
    <w:p>
      <w:pPr>
        <w:adjustRightInd/>
        <w:spacing w:beforeLines="0" w:afterLines="0" w:line="240" w:lineRule="auto"/>
        <w:jc w:val="center"/>
        <w:rPr>
          <w:rFonts w:eastAsia="宋体"/>
          <w:kern w:val="2"/>
        </w:rPr>
      </w:pPr>
    </w:p>
    <w:p>
      <w:pPr>
        <w:adjustRightInd/>
        <w:spacing w:beforeLines="0" w:afterLines="0" w:line="240" w:lineRule="auto"/>
        <w:jc w:val="both"/>
        <w:rPr>
          <w:rFonts w:eastAsia="宋体"/>
          <w:kern w:val="2"/>
        </w:rPr>
      </w:pPr>
    </w:p>
    <w:p>
      <w:pPr>
        <w:adjustRightInd/>
        <w:spacing w:beforeLines="0" w:afterLines="0" w:line="240" w:lineRule="auto"/>
        <w:jc w:val="center"/>
        <w:rPr>
          <w:rFonts w:hint="eastAsia" w:cs="方正仿宋_GBK"/>
          <w:bCs/>
        </w:rPr>
      </w:pPr>
      <w:r>
        <w:rPr>
          <w:rFonts w:hint="eastAsia" w:eastAsia="方正仿宋_GBK" w:cs="方正仿宋_GBK"/>
          <w:vanish w:val="0"/>
          <w:kern w:val="2"/>
        </w:rPr>
        <w:t>渝发改价格〔2022〕998号</w:t>
      </w:r>
    </w:p>
    <w:p>
      <w:pPr>
        <w:adjustRightInd/>
        <w:spacing w:beforeLines="0" w:afterLines="0" w:line="240" w:lineRule="auto"/>
        <w:jc w:val="center"/>
        <w:rPr>
          <w:bCs/>
        </w:rPr>
      </w:pPr>
    </w:p>
    <w:p>
      <w:pPr>
        <w:adjustRightInd/>
        <w:spacing w:beforeLines="0" w:afterLines="0" w:line="240" w:lineRule="auto"/>
        <w:jc w:val="center"/>
        <w:rPr>
          <w:rFonts w:hint="eastAsia" w:ascii="Times New Roman" w:hAnsi="Times New Roman" w:cs="方正仿宋_GBK"/>
          <w:kern w:val="2"/>
        </w:rPr>
      </w:pPr>
      <w:bookmarkStart w:id="0" w:name="正文"/>
      <w:bookmarkEnd w:id="0"/>
    </w:p>
    <w:p>
      <w:pPr>
        <w:adjustRightInd/>
        <w:spacing w:beforeLines="0" w:afterLines="0" w:line="580" w:lineRule="exact"/>
        <w:jc w:val="center"/>
        <w:rPr>
          <w:rFonts w:hint="eastAsia" w:ascii="Times New Roman" w:hAnsi="Times New Roman" w:eastAsia="方正小标宋_GBK" w:cs="方正小标宋_GBK"/>
          <w:bCs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kern w:val="2"/>
          <w:sz w:val="44"/>
          <w:szCs w:val="44"/>
        </w:rPr>
        <w:t>重庆市发展和改革委员会</w:t>
      </w:r>
    </w:p>
    <w:p>
      <w:pPr>
        <w:adjustRightInd/>
        <w:spacing w:beforeLines="0" w:afterLines="0" w:line="580" w:lineRule="exact"/>
        <w:jc w:val="center"/>
        <w:rPr>
          <w:rFonts w:hint="eastAsia" w:ascii="Times New Roman" w:hAnsi="Times New Roman" w:eastAsia="方正小标宋_GBK" w:cs="方正小标宋_GBK"/>
          <w:bCs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kern w:val="2"/>
          <w:sz w:val="44"/>
          <w:szCs w:val="44"/>
        </w:rPr>
        <w:t>关于天然气发电上网电价有关事项的通知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/>
        <w:jc w:val="center"/>
        <w:rPr>
          <w:rFonts w:hint="eastAsia" w:ascii="Times New Roman" w:hAnsi="Times New Roman" w:eastAsia="方正楷体_GBK" w:cs="方正楷体_GBK"/>
          <w:kern w:val="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right="0" w:rightChars="0"/>
        <w:textAlignment w:val="auto"/>
        <w:rPr>
          <w:rFonts w:hint="eastAsia" w:ascii="Times New Roman" w:hAnsi="Times New Roman" w:cs="方正仿宋_GBK"/>
          <w:bCs/>
          <w:kern w:val="2"/>
        </w:rPr>
      </w:pPr>
      <w:r>
        <w:rPr>
          <w:rFonts w:hint="eastAsia" w:ascii="Times New Roman" w:hAnsi="Times New Roman" w:cs="方正仿宋_GBK"/>
          <w:kern w:val="2"/>
        </w:rPr>
        <w:t>各区县（自治县）发展改革委，两江新区市场监管局、西部科学城重庆高新区改革发展局、万盛经开区发展改革局，国网重庆市电力公司、三峡水利电力有限公司，各发电企业：</w:t>
      </w:r>
    </w:p>
    <w:p>
      <w:pPr>
        <w:adjustRightInd/>
        <w:snapToGrid/>
        <w:spacing w:beforeLines="0" w:afterLines="0" w:line="480" w:lineRule="exact"/>
        <w:ind w:firstLine="632" w:firstLineChars="200"/>
        <w:rPr>
          <w:rFonts w:hint="eastAsia" w:ascii="Times New Roman" w:hAnsi="Times New Roman" w:cs="方正仿宋_GBK"/>
          <w:kern w:val="2"/>
        </w:rPr>
      </w:pPr>
      <w:r>
        <w:rPr>
          <w:rFonts w:hint="eastAsia" w:ascii="Times New Roman" w:hAnsi="Times New Roman" w:cs="方正仿宋_GBK"/>
          <w:kern w:val="2"/>
        </w:rPr>
        <w:t>为更好发挥天然气发电机组作用，加快推进电价市场化改革，有序放开竞争性环节电价，结合我市实际，现就天然气发电上网电价有关事项通知如下。</w:t>
      </w:r>
    </w:p>
    <w:p>
      <w:pPr>
        <w:adjustRightInd/>
        <w:snapToGrid/>
        <w:spacing w:beforeLines="0" w:afterLines="0" w:line="480" w:lineRule="exact"/>
        <w:ind w:firstLine="632" w:firstLineChars="200"/>
        <w:rPr>
          <w:rFonts w:hint="eastAsia" w:ascii="Times New Roman" w:hAnsi="Times New Roman" w:eastAsia="方正黑体_GBK" w:cs="方正黑体_GBK"/>
          <w:kern w:val="2"/>
        </w:rPr>
      </w:pPr>
      <w:r>
        <w:rPr>
          <w:rFonts w:hint="eastAsia" w:ascii="Times New Roman" w:hAnsi="Times New Roman" w:eastAsia="方正黑体_GBK" w:cs="方正黑体_GBK"/>
          <w:kern w:val="2"/>
        </w:rPr>
        <w:t>一、天然气发电上网电价</w:t>
      </w:r>
    </w:p>
    <w:p>
      <w:pPr>
        <w:adjustRightInd/>
        <w:snapToGrid/>
        <w:spacing w:beforeLines="0" w:afterLines="0" w:line="480" w:lineRule="exact"/>
        <w:ind w:firstLine="632" w:firstLineChars="200"/>
        <w:rPr>
          <w:rFonts w:hint="eastAsia" w:ascii="Times New Roman" w:hAnsi="Times New Roman" w:cs="方正仿宋_GBK"/>
          <w:kern w:val="2"/>
        </w:rPr>
      </w:pPr>
      <w:r>
        <w:rPr>
          <w:rFonts w:hint="eastAsia" w:ascii="Times New Roman" w:hAnsi="Times New Roman" w:cs="方正仿宋_GBK"/>
          <w:kern w:val="2"/>
        </w:rPr>
        <w:t>（一）天然气调峰发电机组实行两部制电价，其中容量电价按固定成本加合理收益予以核定，电度电价按燃料成本加其他变动成本核定。</w:t>
      </w:r>
    </w:p>
    <w:p>
      <w:pPr>
        <w:adjustRightInd/>
        <w:snapToGrid/>
        <w:spacing w:beforeLines="0" w:afterLines="0" w:line="480" w:lineRule="exact"/>
        <w:ind w:firstLine="632" w:firstLineChars="200"/>
        <w:rPr>
          <w:rFonts w:hint="eastAsia" w:ascii="Times New Roman" w:hAnsi="Times New Roman" w:cs="方正仿宋_GBK"/>
          <w:kern w:val="2"/>
        </w:rPr>
      </w:pPr>
      <w:r>
        <w:rPr>
          <w:rFonts w:hint="eastAsia" w:ascii="Times New Roman" w:hAnsi="Times New Roman" w:cs="方正仿宋_GBK"/>
          <w:kern w:val="2"/>
        </w:rPr>
        <w:t>（二）天然气热电联产机组，应根据冷、热负荷情况合理选择装机容量，自发自用、就地平衡。余电上网电量参与电力市场交易形成上网电价；不参与市场交易的，实行单一制上网电价，按0.3964元/千瓦时执行（相对应的天然气价为1.62元/方）。</w:t>
      </w:r>
    </w:p>
    <w:p>
      <w:pPr>
        <w:adjustRightInd/>
        <w:snapToGrid/>
        <w:spacing w:beforeLines="0" w:afterLines="0" w:line="480" w:lineRule="exact"/>
        <w:ind w:firstLine="632" w:firstLineChars="200"/>
        <w:rPr>
          <w:rFonts w:hint="eastAsia" w:ascii="Times New Roman" w:hAnsi="Times New Roman" w:eastAsia="方正黑体_GBK" w:cs="方正黑体_GBK"/>
          <w:kern w:val="2"/>
        </w:rPr>
      </w:pPr>
      <w:r>
        <w:rPr>
          <w:rFonts w:hint="eastAsia" w:ascii="Times New Roman" w:hAnsi="Times New Roman" w:eastAsia="方正黑体_GBK" w:cs="方正黑体_GBK"/>
          <w:kern w:val="2"/>
        </w:rPr>
        <w:t>二、建立气电价格联动机制</w:t>
      </w:r>
    </w:p>
    <w:p>
      <w:pPr>
        <w:adjustRightInd/>
        <w:snapToGrid/>
        <w:spacing w:beforeLines="0" w:afterLines="0" w:line="480" w:lineRule="exact"/>
        <w:ind w:firstLine="632" w:firstLineChars="200"/>
        <w:rPr>
          <w:rFonts w:hint="eastAsia" w:ascii="Times New Roman" w:hAnsi="Times New Roman" w:cs="方正仿宋_GBK"/>
          <w:kern w:val="2"/>
        </w:rPr>
      </w:pPr>
      <w:r>
        <w:rPr>
          <w:rFonts w:hint="eastAsia" w:ascii="Times New Roman" w:hAnsi="Times New Roman" w:cs="方正仿宋_GBK"/>
          <w:kern w:val="2"/>
        </w:rPr>
        <w:t>对天然气调峰和热电联产机组，建立气电价格联动机制。当天然气价格发生变动时，电度电价原则上每年联动预调整，后续据实清算。预调整值=（当年度天然气到厂价-1.62元/方）÷[（1-厂用电率）/发电气耗率]×税收调整因素，其中税收调整因素为（1+电力增值税率）/（1+天然气增值税率）。天然气调峰发电机组的天然气到厂价为该机组当年度</w:t>
      </w:r>
      <w:r>
        <w:rPr>
          <w:rFonts w:hint="eastAsia" w:ascii="Times New Roman" w:hAnsi="Times New Roman" w:cs="方正仿宋_GBK"/>
          <w:kern w:val="2"/>
        </w:rPr>
        <w:t>到厂</w:t>
      </w:r>
      <w:r>
        <w:rPr>
          <w:rFonts w:hint="eastAsia" w:ascii="Times New Roman" w:hAnsi="Times New Roman" w:cs="方正仿宋_GBK"/>
          <w:kern w:val="2"/>
        </w:rPr>
        <w:t>均价，天然气热电联产机组的天然气到厂</w:t>
      </w:r>
      <w:r>
        <w:rPr>
          <w:rFonts w:hint="eastAsia" w:ascii="Times New Roman" w:hAnsi="Times New Roman" w:cs="方正仿宋_GBK"/>
          <w:kern w:val="2"/>
        </w:rPr>
        <w:t>价</w:t>
      </w:r>
      <w:r>
        <w:rPr>
          <w:rFonts w:hint="eastAsia" w:ascii="Times New Roman" w:hAnsi="Times New Roman" w:cs="方正仿宋_GBK"/>
          <w:kern w:val="2"/>
        </w:rPr>
        <w:t>为全市天然气热电联产机组当年度</w:t>
      </w:r>
      <w:r>
        <w:rPr>
          <w:rFonts w:hint="eastAsia" w:ascii="Times New Roman" w:hAnsi="Times New Roman" w:cs="方正仿宋_GBK"/>
          <w:kern w:val="2"/>
        </w:rPr>
        <w:t>到厂</w:t>
      </w:r>
      <w:r>
        <w:rPr>
          <w:rFonts w:hint="eastAsia" w:ascii="Times New Roman" w:hAnsi="Times New Roman" w:cs="方正仿宋_GBK"/>
          <w:kern w:val="2"/>
        </w:rPr>
        <w:t>均价。</w:t>
      </w:r>
    </w:p>
    <w:p>
      <w:pPr>
        <w:adjustRightInd/>
        <w:snapToGrid/>
        <w:spacing w:beforeLines="0" w:afterLines="0" w:line="480" w:lineRule="exact"/>
        <w:ind w:firstLine="632" w:firstLineChars="200"/>
        <w:rPr>
          <w:rFonts w:hint="eastAsia" w:ascii="Times New Roman" w:hAnsi="Times New Roman" w:eastAsia="方正黑体_GBK" w:cs="方正黑体_GBK"/>
          <w:kern w:val="2"/>
        </w:rPr>
      </w:pPr>
      <w:r>
        <w:rPr>
          <w:rFonts w:hint="eastAsia" w:ascii="Times New Roman" w:hAnsi="Times New Roman" w:eastAsia="方正黑体_GBK" w:cs="方正黑体_GBK"/>
          <w:kern w:val="2"/>
        </w:rPr>
        <w:t>三、其他事项</w:t>
      </w:r>
    </w:p>
    <w:p>
      <w:pPr>
        <w:adjustRightInd/>
        <w:snapToGrid/>
        <w:spacing w:beforeLines="0" w:afterLines="0" w:line="480" w:lineRule="exact"/>
        <w:ind w:firstLine="632" w:firstLineChars="200"/>
        <w:rPr>
          <w:rFonts w:hint="eastAsia" w:ascii="Times New Roman" w:hAnsi="Times New Roman" w:cs="方正仿宋_GBK"/>
          <w:kern w:val="2"/>
        </w:rPr>
      </w:pPr>
      <w:r>
        <w:rPr>
          <w:rFonts w:hint="eastAsia" w:ascii="Times New Roman" w:hAnsi="Times New Roman" w:cs="方正仿宋_GBK"/>
          <w:kern w:val="2"/>
        </w:rPr>
        <w:t>（一）鼓励天然气发电各类机组进入电力市场，参与市场交易的电量，上网电价不再执行政府定价。</w:t>
      </w:r>
    </w:p>
    <w:p>
      <w:pPr>
        <w:adjustRightInd/>
        <w:snapToGrid/>
        <w:spacing w:beforeLines="0" w:afterLines="0" w:line="480" w:lineRule="exact"/>
        <w:ind w:firstLine="632" w:firstLineChars="200"/>
        <w:rPr>
          <w:rFonts w:hint="eastAsia" w:ascii="Times New Roman" w:hAnsi="Times New Roman" w:cs="方正仿宋_GBK"/>
          <w:kern w:val="2"/>
        </w:rPr>
      </w:pPr>
      <w:r>
        <w:rPr>
          <w:rFonts w:hint="eastAsia" w:ascii="Times New Roman" w:hAnsi="Times New Roman" w:cs="方正仿宋_GBK"/>
          <w:kern w:val="2"/>
        </w:rPr>
        <w:t>（二）政策执行过程中遇到的问题及建议，请及时报告</w:t>
      </w:r>
      <w:r>
        <w:rPr>
          <w:rFonts w:hint="eastAsia" w:ascii="Times New Roman" w:hAnsi="Times New Roman" w:cs="方正仿宋_GBK"/>
          <w:kern w:val="2"/>
        </w:rPr>
        <w:t>市发展改革委</w:t>
      </w:r>
      <w:r>
        <w:rPr>
          <w:rFonts w:hint="eastAsia" w:ascii="Times New Roman" w:hAnsi="Times New Roman" w:cs="方正仿宋_GBK"/>
          <w:kern w:val="2"/>
        </w:rPr>
        <w:t>价格处。</w:t>
      </w:r>
    </w:p>
    <w:p>
      <w:pPr>
        <w:adjustRightInd/>
        <w:snapToGrid/>
        <w:spacing w:beforeLines="0" w:afterLines="0" w:line="480" w:lineRule="exact"/>
        <w:ind w:firstLine="632" w:firstLineChars="200"/>
        <w:rPr>
          <w:rFonts w:hint="eastAsia" w:ascii="Times New Roman" w:hAnsi="Times New Roman" w:cs="方正仿宋_GBK"/>
          <w:kern w:val="2"/>
        </w:rPr>
      </w:pPr>
      <w:r>
        <w:rPr>
          <w:rFonts w:hint="eastAsia" w:ascii="Times New Roman" w:hAnsi="Times New Roman" w:cs="方正仿宋_GBK"/>
          <w:kern w:val="2"/>
        </w:rPr>
        <w:t>（三）2022年9月1日后新投产天然气调峰和热电联产机组，按本通知执行。后续如国家出台相关政策，按国家政策进行调整。</w:t>
      </w:r>
    </w:p>
    <w:p>
      <w:pPr>
        <w:adjustRightInd/>
        <w:snapToGrid/>
        <w:spacing w:beforeLines="0" w:afterLines="0" w:line="480" w:lineRule="exact"/>
        <w:ind w:firstLine="632" w:firstLineChars="200"/>
        <w:rPr>
          <w:rFonts w:hint="eastAsia" w:ascii="Times New Roman" w:hAnsi="Times New Roman" w:cs="方正仿宋_GBK"/>
          <w:kern w:val="2"/>
        </w:rPr>
      </w:pPr>
    </w:p>
    <w:p>
      <w:pPr>
        <w:adjustRightInd/>
        <w:snapToGrid/>
        <w:spacing w:beforeLines="0" w:afterLines="0" w:line="480" w:lineRule="exact"/>
        <w:ind w:firstLine="4740" w:firstLineChars="1500"/>
        <w:rPr>
          <w:rFonts w:hint="eastAsia" w:ascii="Times New Roman" w:hAnsi="Times New Roman" w:cs="方正仿宋_GBK"/>
          <w:kern w:val="2"/>
        </w:rPr>
      </w:pPr>
      <w:r>
        <w:rPr>
          <w:rFonts w:hint="eastAsia" w:ascii="Times New Roman" w:hAnsi="Times New Roman" w:cs="方正仿宋_GBK"/>
          <w:kern w:val="2"/>
        </w:rPr>
        <w:t>重庆市发展和改革委员会</w:t>
      </w:r>
    </w:p>
    <w:p>
      <w:pPr>
        <w:adjustRightInd/>
        <w:snapToGrid/>
        <w:spacing w:beforeLines="0" w:afterLines="0" w:line="480" w:lineRule="exact"/>
        <w:ind w:firstLine="5372" w:firstLineChars="1700"/>
        <w:rPr>
          <w:rFonts w:hint="eastAsia" w:ascii="Times New Roman" w:hAnsi="Times New Roman" w:cs="方正仿宋_GBK"/>
          <w:kern w:val="2"/>
        </w:rPr>
      </w:pPr>
      <w:r>
        <w:rPr>
          <w:rFonts w:hint="eastAsia" w:ascii="Times New Roman" w:hAnsi="Times New Roman" w:cs="方正仿宋_GBK"/>
          <w:kern w:val="2"/>
        </w:rPr>
        <w:t>2022年8月</w:t>
      </w:r>
      <w:r>
        <w:rPr>
          <w:rFonts w:hint="eastAsia" w:ascii="Times New Roman" w:hAnsi="Times New Roman" w:cs="方正仿宋_GBK"/>
          <w:kern w:val="2"/>
          <w:lang w:val="en-US" w:eastAsia="zh-CN"/>
        </w:rPr>
        <w:t>8</w:t>
      </w:r>
      <w:r>
        <w:rPr>
          <w:rFonts w:hint="eastAsia" w:ascii="Times New Roman" w:hAnsi="Times New Roman" w:cs="方正仿宋_GBK"/>
          <w:kern w:val="2"/>
        </w:rPr>
        <w:t>日</w:t>
      </w:r>
    </w:p>
    <w:p>
      <w:pPr>
        <w:pBdr>
          <w:bottom w:val="single" w:color="auto" w:sz="12" w:space="0"/>
        </w:pBdr>
        <w:adjustRightInd/>
        <w:spacing w:line="480" w:lineRule="exact"/>
        <w:rPr>
          <w:rFonts w:hint="default"/>
          <w:lang w:val="en-US" w:eastAsia="zh-CN"/>
        </w:rPr>
      </w:pPr>
    </w:p>
    <w:p>
      <w:pPr>
        <w:pBdr>
          <w:bottom w:val="single" w:color="auto" w:sz="12" w:space="0"/>
        </w:pBdr>
        <w:adjustRightInd/>
        <w:spacing w:line="240" w:lineRule="auto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531" w:bottom="1984" w:left="1531" w:header="851" w:footer="1417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w:pict>
        <v:shape id="文本框 2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trackRevisions w:val="1"/>
  <w:documentProtection w:enforcement="0"/>
  <w:defaultTabStop w:val="425"/>
  <w:drawingGridHorizontalSpacing w:val="158"/>
  <w:drawingGridVerticalSpacing w:val="579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FB"/>
    <w:rsid w:val="000A01FB"/>
    <w:rsid w:val="000B24F9"/>
    <w:rsid w:val="000B4A22"/>
    <w:rsid w:val="000C0BF7"/>
    <w:rsid w:val="000C2FB2"/>
    <w:rsid w:val="000C6B28"/>
    <w:rsid w:val="000F25BF"/>
    <w:rsid w:val="001005AC"/>
    <w:rsid w:val="001024AA"/>
    <w:rsid w:val="001056AD"/>
    <w:rsid w:val="00182501"/>
    <w:rsid w:val="00185691"/>
    <w:rsid w:val="001B58F6"/>
    <w:rsid w:val="001D3042"/>
    <w:rsid w:val="001E64D7"/>
    <w:rsid w:val="001F7BBB"/>
    <w:rsid w:val="002466FA"/>
    <w:rsid w:val="00250A8A"/>
    <w:rsid w:val="0026530B"/>
    <w:rsid w:val="00266A87"/>
    <w:rsid w:val="00296D93"/>
    <w:rsid w:val="002B04C6"/>
    <w:rsid w:val="002D3B50"/>
    <w:rsid w:val="00301B6D"/>
    <w:rsid w:val="00392240"/>
    <w:rsid w:val="00396CAE"/>
    <w:rsid w:val="003B3891"/>
    <w:rsid w:val="003D5F25"/>
    <w:rsid w:val="003E4FE8"/>
    <w:rsid w:val="003E5084"/>
    <w:rsid w:val="003F450B"/>
    <w:rsid w:val="00413264"/>
    <w:rsid w:val="00432433"/>
    <w:rsid w:val="00434D79"/>
    <w:rsid w:val="00474C3A"/>
    <w:rsid w:val="00496D2E"/>
    <w:rsid w:val="00497F00"/>
    <w:rsid w:val="004A2FB3"/>
    <w:rsid w:val="004E0474"/>
    <w:rsid w:val="0050535E"/>
    <w:rsid w:val="005777F4"/>
    <w:rsid w:val="005C7EAE"/>
    <w:rsid w:val="005F3C4D"/>
    <w:rsid w:val="006042BD"/>
    <w:rsid w:val="006068C6"/>
    <w:rsid w:val="00615E22"/>
    <w:rsid w:val="006A30D0"/>
    <w:rsid w:val="006C0DE2"/>
    <w:rsid w:val="0072131F"/>
    <w:rsid w:val="00731C1B"/>
    <w:rsid w:val="00737083"/>
    <w:rsid w:val="00765BC9"/>
    <w:rsid w:val="007770A5"/>
    <w:rsid w:val="00794916"/>
    <w:rsid w:val="007F46CB"/>
    <w:rsid w:val="00800B8F"/>
    <w:rsid w:val="00815223"/>
    <w:rsid w:val="00831787"/>
    <w:rsid w:val="00850D3F"/>
    <w:rsid w:val="00853F77"/>
    <w:rsid w:val="00860A47"/>
    <w:rsid w:val="00891C35"/>
    <w:rsid w:val="008935D1"/>
    <w:rsid w:val="008B74C0"/>
    <w:rsid w:val="008F6151"/>
    <w:rsid w:val="009048D5"/>
    <w:rsid w:val="00904AFE"/>
    <w:rsid w:val="0092122C"/>
    <w:rsid w:val="009220DF"/>
    <w:rsid w:val="00965CCB"/>
    <w:rsid w:val="00972E17"/>
    <w:rsid w:val="00974193"/>
    <w:rsid w:val="009A5EB0"/>
    <w:rsid w:val="00A40C10"/>
    <w:rsid w:val="00A443C1"/>
    <w:rsid w:val="00A955CD"/>
    <w:rsid w:val="00AA3D4F"/>
    <w:rsid w:val="00B1777D"/>
    <w:rsid w:val="00B51CD6"/>
    <w:rsid w:val="00B73014"/>
    <w:rsid w:val="00B833D8"/>
    <w:rsid w:val="00BF0A53"/>
    <w:rsid w:val="00C464A8"/>
    <w:rsid w:val="00C6762A"/>
    <w:rsid w:val="00CD4D55"/>
    <w:rsid w:val="00D01740"/>
    <w:rsid w:val="00D7295A"/>
    <w:rsid w:val="00D878F1"/>
    <w:rsid w:val="00D902A8"/>
    <w:rsid w:val="00D97CFB"/>
    <w:rsid w:val="00DB38C2"/>
    <w:rsid w:val="00DD2B37"/>
    <w:rsid w:val="00DD4877"/>
    <w:rsid w:val="00E03841"/>
    <w:rsid w:val="00E7080E"/>
    <w:rsid w:val="00E73AC1"/>
    <w:rsid w:val="00E770E1"/>
    <w:rsid w:val="00E93235"/>
    <w:rsid w:val="00ED5B9D"/>
    <w:rsid w:val="00F14A44"/>
    <w:rsid w:val="00F63B69"/>
    <w:rsid w:val="00F63FF8"/>
    <w:rsid w:val="00FA4D84"/>
    <w:rsid w:val="00FA4DBD"/>
    <w:rsid w:val="01A06D82"/>
    <w:rsid w:val="01B25A4D"/>
    <w:rsid w:val="03505C66"/>
    <w:rsid w:val="07DE0AAA"/>
    <w:rsid w:val="0CF02DEE"/>
    <w:rsid w:val="12080E07"/>
    <w:rsid w:val="12C81AA5"/>
    <w:rsid w:val="1578613D"/>
    <w:rsid w:val="193D01E0"/>
    <w:rsid w:val="1D2027D0"/>
    <w:rsid w:val="1D4E12BA"/>
    <w:rsid w:val="1DBD0297"/>
    <w:rsid w:val="1F4C00ED"/>
    <w:rsid w:val="226117B6"/>
    <w:rsid w:val="23445D57"/>
    <w:rsid w:val="23570372"/>
    <w:rsid w:val="256B156C"/>
    <w:rsid w:val="25B27047"/>
    <w:rsid w:val="26D83835"/>
    <w:rsid w:val="27F5397D"/>
    <w:rsid w:val="2AFF29AF"/>
    <w:rsid w:val="2B6540BB"/>
    <w:rsid w:val="2B6F62D5"/>
    <w:rsid w:val="2B8704A8"/>
    <w:rsid w:val="30C82935"/>
    <w:rsid w:val="359D56FF"/>
    <w:rsid w:val="35EF5E14"/>
    <w:rsid w:val="37083883"/>
    <w:rsid w:val="38146403"/>
    <w:rsid w:val="38B97D28"/>
    <w:rsid w:val="395B3F6E"/>
    <w:rsid w:val="3A1F5203"/>
    <w:rsid w:val="3D584BA2"/>
    <w:rsid w:val="402E288B"/>
    <w:rsid w:val="417E794A"/>
    <w:rsid w:val="45E47B16"/>
    <w:rsid w:val="47651902"/>
    <w:rsid w:val="477B47A9"/>
    <w:rsid w:val="4A30398A"/>
    <w:rsid w:val="4A9F4CF0"/>
    <w:rsid w:val="4AC07792"/>
    <w:rsid w:val="4CE7092E"/>
    <w:rsid w:val="4E252DB9"/>
    <w:rsid w:val="5073301F"/>
    <w:rsid w:val="545424E6"/>
    <w:rsid w:val="54E47F11"/>
    <w:rsid w:val="55835057"/>
    <w:rsid w:val="57DB6B64"/>
    <w:rsid w:val="5BC50A62"/>
    <w:rsid w:val="60050F24"/>
    <w:rsid w:val="61561366"/>
    <w:rsid w:val="6383212C"/>
    <w:rsid w:val="65E0558A"/>
    <w:rsid w:val="68E8683A"/>
    <w:rsid w:val="694D661D"/>
    <w:rsid w:val="696E3491"/>
    <w:rsid w:val="6AFF5937"/>
    <w:rsid w:val="6C3D2854"/>
    <w:rsid w:val="6E163EDE"/>
    <w:rsid w:val="726C3FD1"/>
    <w:rsid w:val="73815F40"/>
    <w:rsid w:val="76877546"/>
    <w:rsid w:val="76B77724"/>
    <w:rsid w:val="7A7973A8"/>
    <w:rsid w:val="7B0C0998"/>
    <w:rsid w:val="7BAA0A78"/>
    <w:rsid w:val="7C5031A0"/>
    <w:rsid w:val="7E707F48"/>
    <w:rsid w:val="7EFE1DAF"/>
    <w:rsid w:val="7FB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link w:val="3"/>
    <w:qFormat/>
    <w:uiPriority w:val="99"/>
    <w:rPr>
      <w:rFonts w:eastAsia="方正仿宋_GBK"/>
      <w:sz w:val="18"/>
      <w:szCs w:val="18"/>
    </w:rPr>
  </w:style>
  <w:style w:type="character" w:customStyle="1" w:styleId="9">
    <w:name w:val="页眉 Char"/>
    <w:link w:val="4"/>
    <w:qFormat/>
    <w:uiPriority w:val="0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FCF120-1A54-4E30-ABFF-98F445A6C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</Company>
  <Pages>1</Pages>
  <Words>5</Words>
  <Characters>32</Characters>
  <Lines>1</Lines>
  <Paragraphs>1</Paragraphs>
  <TotalTime>8</TotalTime>
  <ScaleCrop>false</ScaleCrop>
  <LinksUpToDate>false</LinksUpToDate>
  <CharactersWithSpaces>36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2009-06-05T10:03:00Z</dcterms:created>
  <dc:creator>jw</dc:creator>
  <cp:lastModifiedBy>周卒</cp:lastModifiedBy>
  <cp:lastPrinted>2022-08-09T02:55:00Z</cp:lastPrinted>
  <dcterms:modified xsi:type="dcterms:W3CDTF">2022-08-09T09:28:14Z</dcterms:modified>
  <dc:title>重庆市计委关于巫山县小小三峡手扒岩至平河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