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rPr>
          <w:rFonts w:ascii="方正仿宋_GBK" w:hAnsi="方正仿宋_GBK" w:cs="方正仿宋_GBK"/>
          <w:bCs/>
          <w:color w:val="000000" w:themeColor="text1"/>
        </w:rPr>
      </w:pPr>
    </w:p>
    <w:p>
      <w:pPr>
        <w:adjustRightInd/>
        <w:spacing w:line="240" w:lineRule="auto"/>
        <w:rPr>
          <w:rFonts w:ascii="方正仿宋_GBK" w:hAnsi="方正仿宋_GBK" w:cs="方正仿宋_GBK"/>
          <w:bCs/>
          <w:color w:val="000000" w:themeColor="text1"/>
        </w:rPr>
      </w:pPr>
    </w:p>
    <w:p>
      <w:pPr>
        <w:adjustRightInd/>
        <w:spacing w:line="240" w:lineRule="auto"/>
        <w:rPr>
          <w:rFonts w:ascii="方正仿宋_GBK" w:hAnsi="方正仿宋_GBK" w:cs="方正仿宋_GBK"/>
          <w:bCs/>
          <w:color w:val="000000" w:themeColor="text1"/>
        </w:rPr>
      </w:pPr>
    </w:p>
    <w:p>
      <w:pPr>
        <w:adjustRightInd/>
        <w:spacing w:line="240" w:lineRule="auto"/>
        <w:rPr>
          <w:bCs/>
          <w:color w:val="000000" w:themeColor="text1"/>
        </w:rPr>
      </w:pPr>
    </w:p>
    <w:p>
      <w:pPr>
        <w:adjustRightInd/>
        <w:spacing w:line="240" w:lineRule="auto"/>
        <w:rPr>
          <w:bCs/>
          <w:color w:val="000000" w:themeColor="text1"/>
        </w:rPr>
      </w:pPr>
    </w:p>
    <w:p>
      <w:pPr>
        <w:adjustRightInd/>
        <w:spacing w:line="240" w:lineRule="auto"/>
        <w:jc w:val="center"/>
        <w:rPr>
          <w:rFonts w:eastAsia="宋体"/>
          <w:color w:val="000000" w:themeColor="text1"/>
          <w:kern w:val="2"/>
        </w:rPr>
      </w:pPr>
    </w:p>
    <w:p>
      <w:pPr>
        <w:adjustRightInd/>
        <w:spacing w:line="240" w:lineRule="auto"/>
        <w:jc w:val="center"/>
        <w:rPr>
          <w:rFonts w:eastAsia="宋体"/>
          <w:color w:val="000000" w:themeColor="text1"/>
          <w:kern w:val="2"/>
        </w:rPr>
      </w:pPr>
    </w:p>
    <w:p>
      <w:pPr>
        <w:adjustRightInd/>
        <w:spacing w:line="240" w:lineRule="auto"/>
        <w:jc w:val="both"/>
        <w:rPr>
          <w:rFonts w:eastAsia="宋体"/>
          <w:color w:val="000000" w:themeColor="text1"/>
          <w:kern w:val="2"/>
        </w:rPr>
      </w:pPr>
    </w:p>
    <w:p>
      <w:pPr>
        <w:adjustRightInd/>
        <w:spacing w:line="240" w:lineRule="auto"/>
        <w:jc w:val="center"/>
        <w:rPr>
          <w:rFonts w:hint="eastAsia" w:ascii="方正仿宋_GBK" w:hAnsi="方正仿宋_GBK" w:cs="方正仿宋_GBK"/>
          <w:bCs/>
          <w:color w:val="000000" w:themeColor="text1"/>
        </w:rPr>
      </w:pPr>
      <w:r>
        <w:rPr>
          <w:rFonts w:hint="eastAsia" w:ascii="方正仿宋_GBK" w:hAnsi="方正仿宋_GBK" w:eastAsia="方正仿宋_GBK" w:cs="方正仿宋_GBK"/>
          <w:vanish w:val="0"/>
          <w:color w:val="000000" w:themeColor="text1"/>
          <w:kern w:val="2"/>
        </w:rPr>
        <w:t>渝发改工业〔</w:t>
      </w:r>
      <w:r>
        <w:rPr>
          <w:rFonts w:hint="default" w:eastAsia="方正仿宋_GBK"/>
          <w:vanish w:val="0"/>
          <w:color w:val="000000" w:themeColor="text1"/>
          <w:kern w:val="2"/>
        </w:rPr>
        <w:t>2022</w:t>
      </w:r>
      <w:r>
        <w:rPr>
          <w:rFonts w:hint="eastAsia" w:ascii="方正仿宋_GBK" w:hAnsi="方正仿宋_GBK" w:eastAsia="方正仿宋_GBK" w:cs="方正仿宋_GBK"/>
          <w:vanish w:val="0"/>
          <w:color w:val="000000" w:themeColor="text1"/>
          <w:kern w:val="2"/>
        </w:rPr>
        <w:t>〕</w:t>
      </w:r>
      <w:r>
        <w:rPr>
          <w:rFonts w:hint="default" w:eastAsia="方正仿宋_GBK"/>
          <w:vanish w:val="0"/>
          <w:color w:val="000000" w:themeColor="text1"/>
          <w:kern w:val="2"/>
        </w:rPr>
        <w:t>270</w:t>
      </w:r>
      <w:r>
        <w:rPr>
          <w:rFonts w:hint="eastAsia" w:ascii="方正仿宋_GBK" w:hAnsi="方正仿宋_GBK" w:eastAsia="方正仿宋_GBK" w:cs="方正仿宋_GBK"/>
          <w:vanish w:val="0"/>
          <w:color w:val="000000" w:themeColor="text1"/>
          <w:kern w:val="2"/>
        </w:rPr>
        <w:t>号</w:t>
      </w:r>
    </w:p>
    <w:p>
      <w:pPr>
        <w:adjustRightInd/>
        <w:spacing w:line="580" w:lineRule="exact"/>
        <w:jc w:val="center"/>
        <w:rPr>
          <w:bCs/>
          <w:color w:val="000000" w:themeColor="text1"/>
        </w:rPr>
      </w:pPr>
    </w:p>
    <w:p>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eastAsia="方正小标宋_GBK"/>
          <w:bCs/>
          <w:color w:val="000000" w:themeColor="text1"/>
          <w:sz w:val="44"/>
        </w:rPr>
      </w:pPr>
      <w:bookmarkStart w:id="1" w:name="_GoBack"/>
      <w:bookmarkStart w:id="0" w:name="正文"/>
      <w:bookmarkEnd w:id="0"/>
      <w:r>
        <w:rPr>
          <w:rFonts w:hint="eastAsia" w:eastAsia="方正小标宋_GBK"/>
          <w:bCs/>
          <w:color w:val="000000" w:themeColor="text1"/>
          <w:sz w:val="44"/>
        </w:rPr>
        <w:t>关于印发《重庆市严格能效约束</w:t>
      </w:r>
    </w:p>
    <w:p>
      <w:pPr>
        <w:keepNext w:val="0"/>
        <w:keepLines w:val="0"/>
        <w:pageBreakBefore w:val="0"/>
        <w:kinsoku/>
        <w:wordWrap/>
        <w:overflowPunct/>
        <w:topLinePunct w:val="0"/>
        <w:autoSpaceDE/>
        <w:autoSpaceDN/>
        <w:bidi w:val="0"/>
        <w:adjustRightInd/>
        <w:snapToGrid/>
        <w:spacing w:after="0" w:line="580" w:lineRule="exact"/>
        <w:jc w:val="center"/>
        <w:textAlignment w:val="auto"/>
        <w:rPr>
          <w:rFonts w:hint="eastAsia" w:eastAsia="方正小标宋_GBK"/>
          <w:bCs/>
          <w:color w:val="000000" w:themeColor="text1"/>
          <w:sz w:val="44"/>
        </w:rPr>
      </w:pPr>
      <w:r>
        <w:rPr>
          <w:rFonts w:hint="eastAsia" w:eastAsia="方正小标宋_GBK"/>
          <w:bCs/>
          <w:color w:val="000000" w:themeColor="text1"/>
          <w:sz w:val="44"/>
        </w:rPr>
        <w:t>推动</w:t>
      </w:r>
      <w:r>
        <w:rPr>
          <w:rFonts w:eastAsia="方正小标宋_GBK"/>
          <w:bCs/>
          <w:color w:val="000000" w:themeColor="text1"/>
          <w:sz w:val="44"/>
        </w:rPr>
        <w:t>重点领域节能降碳实施方案</w:t>
      </w:r>
      <w:r>
        <w:rPr>
          <w:rFonts w:hint="eastAsia" w:eastAsia="方正小标宋_GBK"/>
          <w:bCs/>
          <w:color w:val="000000" w:themeColor="text1"/>
          <w:sz w:val="44"/>
        </w:rPr>
        <w:t>》的通知</w:t>
      </w:r>
    </w:p>
    <w:bookmarkEnd w:id="1"/>
    <w:p>
      <w:pPr>
        <w:adjustRightInd/>
        <w:spacing w:after="0" w:afterLines="0" w:line="240" w:lineRule="auto"/>
        <w:ind w:left="0" w:leftChars="0" w:right="0" w:firstLine="1134"/>
        <w:contextualSpacing/>
        <w:textAlignment w:val="auto"/>
        <w:rPr>
          <w:color w:val="000000" w:themeColor="text1"/>
          <w:kern w:val="2"/>
          <w:sz w:val="30"/>
          <w:szCs w:val="30"/>
        </w:rPr>
      </w:pPr>
    </w:p>
    <w:p>
      <w:pPr>
        <w:adjustRightInd/>
        <w:spacing w:after="0" w:afterLines="0" w:line="240" w:lineRule="auto"/>
        <w:ind w:left="0" w:leftChars="0" w:right="0" w:firstLine="0" w:firstLineChars="0"/>
        <w:contextualSpacing/>
        <w:textAlignment w:val="auto"/>
        <w:rPr>
          <w:rFonts w:hint="eastAsia"/>
          <w:color w:val="000000" w:themeColor="text1"/>
          <w:kern w:val="2"/>
        </w:rPr>
      </w:pPr>
      <w:r>
        <w:rPr>
          <w:rFonts w:hint="eastAsia"/>
          <w:color w:val="000000" w:themeColor="text1"/>
          <w:kern w:val="2"/>
        </w:rPr>
        <w:t>市科技局、市财政局、人行重庆营管部、重庆证监局、市大数据发展局，各区县（自治县）发展改革委、经济信息委、生态环境局、市场监管局、能源局：</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rPr>
          <w:rFonts w:hint="eastAsia"/>
          <w:bCs/>
          <w:color w:val="000000" w:themeColor="text1"/>
        </w:rPr>
      </w:pPr>
      <w:r>
        <w:rPr>
          <w:rFonts w:hint="eastAsia"/>
          <w:bCs/>
          <w:color w:val="000000" w:themeColor="text1"/>
        </w:rPr>
        <w:t>根据国家发展改革委等部门</w:t>
      </w:r>
      <w:r>
        <w:rPr>
          <w:bCs/>
          <w:color w:val="000000" w:themeColor="text1"/>
        </w:rPr>
        <w:t>《关于严格能效约束推动重点领域节能降碳的若干意见》</w:t>
      </w:r>
      <w:r>
        <w:rPr>
          <w:rFonts w:hint="eastAsia"/>
          <w:bCs/>
          <w:color w:val="000000" w:themeColor="text1"/>
        </w:rPr>
        <w:t>（</w:t>
      </w:r>
      <w:r>
        <w:rPr>
          <w:bCs/>
          <w:color w:val="000000" w:themeColor="text1"/>
        </w:rPr>
        <w:t>发改产业〔2021〕1464号</w:t>
      </w:r>
      <w:r>
        <w:rPr>
          <w:rFonts w:hint="eastAsia"/>
          <w:bCs/>
          <w:color w:val="000000" w:themeColor="text1"/>
        </w:rPr>
        <w:t>），现将《重庆市严格能效约束推动重点领域节能降碳实施方案》印发你们，请结合职能职责组织实施。</w:t>
      </w:r>
    </w:p>
    <w:p>
      <w:pPr>
        <w:adjustRightInd/>
        <w:spacing w:after="0" w:afterLines="0" w:line="240" w:lineRule="auto"/>
        <w:ind w:left="0" w:leftChars="0" w:right="0" w:firstLine="0" w:firstLineChars="0"/>
        <w:contextualSpacing/>
        <w:textAlignment w:val="auto"/>
        <w:rPr>
          <w:color w:val="000000" w:themeColor="text1"/>
          <w:kern w:val="2"/>
          <w:sz w:val="30"/>
          <w:szCs w:val="30"/>
        </w:rPr>
      </w:pPr>
    </w:p>
    <w:p>
      <w:pPr>
        <w:adjustRightInd/>
        <w:spacing w:after="0" w:afterLines="0" w:line="240" w:lineRule="auto"/>
        <w:ind w:left="0" w:leftChars="0" w:right="0" w:firstLine="592" w:firstLineChars="200"/>
        <w:contextualSpacing/>
        <w:textAlignment w:val="auto"/>
        <w:rPr>
          <w:rFonts w:hint="eastAsia"/>
          <w:color w:val="000000" w:themeColor="text1"/>
          <w:kern w:val="2"/>
          <w:sz w:val="30"/>
          <w:szCs w:val="30"/>
        </w:rPr>
      </w:pPr>
      <w:r>
        <w:rPr>
          <w:rFonts w:hint="eastAsia"/>
          <w:color w:val="000000" w:themeColor="text1"/>
          <w:kern w:val="2"/>
          <w:sz w:val="30"/>
          <w:szCs w:val="30"/>
        </w:rPr>
        <w:t xml:space="preserve">重庆市发展和改革委员会  </w:t>
      </w:r>
      <w:r>
        <w:rPr>
          <w:rFonts w:hint="eastAsia"/>
          <w:color w:val="000000" w:themeColor="text1"/>
          <w:kern w:val="2"/>
          <w:sz w:val="30"/>
          <w:szCs w:val="30"/>
          <w:lang w:val="en-US" w:eastAsia="zh-CN"/>
        </w:rPr>
        <w:t xml:space="preserve">      </w:t>
      </w:r>
      <w:r>
        <w:rPr>
          <w:rFonts w:hint="eastAsia"/>
          <w:color w:val="000000" w:themeColor="text1"/>
          <w:kern w:val="2"/>
          <w:sz w:val="30"/>
          <w:szCs w:val="30"/>
        </w:rPr>
        <w:t xml:space="preserve"> 重庆市经济和信息委员会</w:t>
      </w:r>
    </w:p>
    <w:p>
      <w:pPr>
        <w:adjustRightInd/>
        <w:spacing w:after="0" w:afterLines="0" w:line="240" w:lineRule="auto"/>
        <w:ind w:left="0" w:leftChars="0" w:right="0" w:firstLine="0" w:firstLineChars="0"/>
        <w:contextualSpacing/>
        <w:textAlignment w:val="auto"/>
        <w:rPr>
          <w:rFonts w:hint="eastAsia" w:ascii="方正仿宋_GBK" w:hAnsi="方正仿宋_GBK" w:cs="方正仿宋_GBK"/>
          <w:color w:val="000000" w:themeColor="text1"/>
          <w:kern w:val="2"/>
          <w:sz w:val="32"/>
          <w:szCs w:val="32"/>
        </w:rPr>
      </w:pPr>
    </w:p>
    <w:p>
      <w:pPr>
        <w:adjustRightInd/>
        <w:spacing w:after="0" w:afterLines="0" w:line="240" w:lineRule="auto"/>
        <w:ind w:left="0" w:leftChars="0" w:right="0" w:firstLine="0" w:firstLineChars="0"/>
        <w:contextualSpacing/>
        <w:textAlignment w:val="auto"/>
        <w:rPr>
          <w:rFonts w:hint="eastAsia" w:ascii="方正仿宋_GBK" w:hAnsi="方正仿宋_GBK" w:cs="方正仿宋_GBK"/>
          <w:color w:val="000000" w:themeColor="text1"/>
          <w:kern w:val="2"/>
          <w:sz w:val="32"/>
          <w:szCs w:val="32"/>
        </w:rPr>
      </w:pPr>
    </w:p>
    <w:p>
      <w:pPr>
        <w:adjustRightInd/>
        <w:spacing w:after="0" w:afterLines="0" w:line="240" w:lineRule="auto"/>
        <w:ind w:left="0" w:leftChars="0" w:right="0" w:firstLine="0" w:firstLineChars="0"/>
        <w:contextualSpacing/>
        <w:textAlignment w:val="auto"/>
        <w:rPr>
          <w:rFonts w:hint="eastAsia" w:ascii="方正仿宋_GBK" w:hAnsi="方正仿宋_GBK" w:cs="方正仿宋_GBK"/>
          <w:color w:val="000000" w:themeColor="text1"/>
          <w:kern w:val="2"/>
          <w:sz w:val="32"/>
          <w:szCs w:val="32"/>
        </w:rPr>
      </w:pPr>
    </w:p>
    <w:p>
      <w:pPr>
        <w:adjustRightInd/>
        <w:spacing w:after="0" w:afterLines="0" w:line="240" w:lineRule="auto"/>
        <w:ind w:left="0" w:leftChars="0" w:right="0" w:firstLine="632" w:firstLineChars="200"/>
        <w:contextualSpacing/>
        <w:textAlignment w:val="auto"/>
        <w:rPr>
          <w:rFonts w:hint="eastAsia" w:ascii="方正仿宋_GBK" w:hAnsi="方正仿宋_GBK" w:eastAsia="方正仿宋_GBK" w:cs="方正仿宋_GBK"/>
          <w:color w:val="000000" w:themeColor="text1"/>
          <w:kern w:val="2"/>
          <w:sz w:val="32"/>
          <w:szCs w:val="32"/>
        </w:rPr>
      </w:pPr>
      <w:r>
        <w:rPr>
          <w:rFonts w:hint="eastAsia" w:ascii="方正仿宋_GBK" w:hAnsi="方正仿宋_GBK" w:eastAsia="方正仿宋_GBK" w:cs="方正仿宋_GBK"/>
          <w:color w:val="000000" w:themeColor="text1"/>
          <w:kern w:val="2"/>
          <w:sz w:val="32"/>
          <w:szCs w:val="32"/>
        </w:rPr>
        <w:t>重庆市生态环境局</w:t>
      </w:r>
      <w:r>
        <w:rPr>
          <w:rFonts w:hint="eastAsia" w:ascii="方正仿宋_GBK" w:hAnsi="方正仿宋_GBK" w:cs="方正仿宋_GBK"/>
          <w:color w:val="000000" w:themeColor="text1"/>
          <w:kern w:val="2"/>
          <w:sz w:val="32"/>
          <w:szCs w:val="32"/>
          <w:lang w:val="en-US" w:eastAsia="zh-CN"/>
        </w:rPr>
        <w:t xml:space="preserve">             </w:t>
      </w:r>
      <w:r>
        <w:rPr>
          <w:rFonts w:hint="eastAsia" w:ascii="方正仿宋_GBK" w:hAnsi="方正仿宋_GBK" w:eastAsia="方正仿宋_GBK" w:cs="方正仿宋_GBK"/>
          <w:color w:val="000000" w:themeColor="text1"/>
          <w:kern w:val="2"/>
          <w:sz w:val="32"/>
          <w:szCs w:val="32"/>
        </w:rPr>
        <w:t>重庆市市场监督管理局</w:t>
      </w:r>
    </w:p>
    <w:p>
      <w:pPr>
        <w:adjustRightInd/>
        <w:spacing w:after="0" w:afterLines="0" w:line="240" w:lineRule="auto"/>
        <w:ind w:left="0" w:leftChars="0" w:right="0" w:firstLine="0" w:firstLineChars="0"/>
        <w:contextualSpacing/>
        <w:textAlignment w:val="auto"/>
        <w:rPr>
          <w:rFonts w:hint="eastAsia" w:ascii="方正仿宋_GBK" w:hAnsi="方正仿宋_GBK" w:eastAsia="方正仿宋_GBK" w:cs="方正仿宋_GBK"/>
          <w:color w:val="000000" w:themeColor="text1"/>
          <w:kern w:val="2"/>
          <w:sz w:val="32"/>
          <w:szCs w:val="32"/>
        </w:rPr>
      </w:pPr>
    </w:p>
    <w:p>
      <w:pPr>
        <w:adjustRightInd/>
        <w:spacing w:after="0" w:afterLines="0" w:line="240" w:lineRule="auto"/>
        <w:ind w:left="0" w:leftChars="0" w:right="0" w:firstLine="0" w:firstLineChars="0"/>
        <w:contextualSpacing/>
        <w:textAlignment w:val="auto"/>
        <w:rPr>
          <w:rFonts w:hint="eastAsia" w:ascii="方正仿宋_GBK" w:hAnsi="方正仿宋_GBK" w:eastAsia="方正仿宋_GBK" w:cs="方正仿宋_GBK"/>
          <w:color w:val="000000" w:themeColor="text1"/>
          <w:kern w:val="2"/>
          <w:sz w:val="32"/>
          <w:szCs w:val="32"/>
        </w:rPr>
      </w:pPr>
    </w:p>
    <w:p>
      <w:pPr>
        <w:adjustRightInd/>
        <w:spacing w:after="0" w:afterLines="0" w:line="240" w:lineRule="auto"/>
        <w:ind w:left="0" w:leftChars="0" w:right="0" w:firstLine="0" w:firstLineChars="0"/>
        <w:contextualSpacing/>
        <w:textAlignment w:val="auto"/>
        <w:rPr>
          <w:rFonts w:hint="eastAsia" w:ascii="方正仿宋_GBK" w:hAnsi="方正仿宋_GBK" w:eastAsia="方正仿宋_GBK" w:cs="方正仿宋_GBK"/>
          <w:color w:val="000000" w:themeColor="text1"/>
          <w:kern w:val="2"/>
          <w:sz w:val="32"/>
          <w:szCs w:val="32"/>
        </w:rPr>
      </w:pPr>
    </w:p>
    <w:p>
      <w:pPr>
        <w:adjustRightInd/>
        <w:spacing w:after="0" w:afterLines="0" w:line="240" w:lineRule="auto"/>
        <w:ind w:left="0" w:leftChars="0" w:right="0" w:firstLine="6004" w:firstLineChars="1900"/>
        <w:contextualSpacing/>
        <w:textAlignment w:val="auto"/>
        <w:rPr>
          <w:rFonts w:hint="eastAsia" w:ascii="方正仿宋_GBK" w:hAnsi="方正仿宋_GBK" w:eastAsia="方正仿宋_GBK" w:cs="方正仿宋_GBK"/>
          <w:color w:val="000000" w:themeColor="text1"/>
          <w:kern w:val="2"/>
          <w:sz w:val="32"/>
          <w:szCs w:val="32"/>
        </w:rPr>
      </w:pPr>
      <w:r>
        <w:rPr>
          <w:rFonts w:hint="eastAsia" w:ascii="方正仿宋_GBK" w:hAnsi="方正仿宋_GBK" w:eastAsia="方正仿宋_GBK" w:cs="方正仿宋_GBK"/>
          <w:color w:val="000000" w:themeColor="text1"/>
          <w:kern w:val="2"/>
          <w:sz w:val="32"/>
          <w:szCs w:val="32"/>
        </w:rPr>
        <w:t>重庆</w:t>
      </w:r>
      <w:r>
        <w:rPr>
          <w:rFonts w:hint="eastAsia" w:ascii="方正仿宋_GBK" w:hAnsi="方正仿宋_GBK" w:eastAsia="方正仿宋_GBK" w:cs="方正仿宋_GBK"/>
          <w:color w:val="000000" w:themeColor="text1"/>
          <w:kern w:val="2"/>
          <w:sz w:val="32"/>
          <w:szCs w:val="32"/>
        </w:rPr>
        <w:t>市能源局</w:t>
      </w:r>
    </w:p>
    <w:p>
      <w:pPr>
        <w:wordWrap w:val="0"/>
        <w:adjustRightInd/>
        <w:spacing w:after="0" w:afterLines="0" w:line="240" w:lineRule="auto"/>
        <w:ind w:left="0" w:leftChars="0" w:right="442" w:rightChars="140" w:firstLine="296" w:firstLineChars="100"/>
        <w:contextualSpacing/>
        <w:jc w:val="right"/>
        <w:textAlignment w:val="auto"/>
        <w:rPr>
          <w:color w:val="000000" w:themeColor="text1"/>
          <w:kern w:val="2"/>
          <w:sz w:val="30"/>
          <w:szCs w:val="30"/>
        </w:rPr>
      </w:pPr>
      <w:r>
        <w:rPr>
          <w:rFonts w:hint="default"/>
          <w:color w:val="000000" w:themeColor="text1"/>
          <w:kern w:val="2"/>
          <w:sz w:val="30"/>
          <w:szCs w:val="30"/>
        </w:rPr>
        <w:t>2022</w:t>
      </w:r>
      <w:r>
        <w:rPr>
          <w:rFonts w:hint="eastAsia"/>
          <w:color w:val="000000" w:themeColor="text1"/>
          <w:kern w:val="2"/>
          <w:sz w:val="30"/>
          <w:szCs w:val="30"/>
        </w:rPr>
        <w:t>年</w:t>
      </w:r>
      <w:r>
        <w:rPr>
          <w:rFonts w:hint="default"/>
          <w:color w:val="000000" w:themeColor="text1"/>
          <w:kern w:val="2"/>
          <w:sz w:val="30"/>
          <w:szCs w:val="30"/>
        </w:rPr>
        <w:t>2</w:t>
      </w:r>
      <w:r>
        <w:rPr>
          <w:rFonts w:hint="eastAsia"/>
          <w:color w:val="000000" w:themeColor="text1"/>
          <w:kern w:val="2"/>
          <w:sz w:val="30"/>
          <w:szCs w:val="30"/>
        </w:rPr>
        <w:t>月</w:t>
      </w:r>
      <w:r>
        <w:rPr>
          <w:rFonts w:hint="eastAsia" w:ascii="Times New Roman" w:hAnsi="Times New Roman" w:cs="Times New Roman"/>
          <w:color w:val="000000" w:themeColor="text1"/>
          <w:kern w:val="2"/>
          <w:sz w:val="30"/>
          <w:szCs w:val="30"/>
          <w:lang w:eastAsia="zh-CN"/>
        </w:rPr>
        <w:t>2</w:t>
      </w:r>
      <w:r>
        <w:rPr>
          <w:rFonts w:hint="eastAsia" w:ascii="Times New Roman" w:hAnsi="Times New Roman" w:cs="Times New Roman"/>
          <w:color w:val="000000" w:themeColor="text1"/>
          <w:kern w:val="2"/>
          <w:sz w:val="30"/>
          <w:szCs w:val="30"/>
          <w:lang w:val="en-US" w:eastAsia="zh-CN"/>
        </w:rPr>
        <w:t>8</w:t>
      </w:r>
      <w:r>
        <w:rPr>
          <w:rFonts w:hint="eastAsia"/>
          <w:color w:val="000000" w:themeColor="text1"/>
          <w:kern w:val="2"/>
          <w:sz w:val="30"/>
          <w:szCs w:val="30"/>
        </w:rPr>
        <w:t xml:space="preserve">日  </w:t>
      </w:r>
    </w:p>
    <w:p>
      <w:pPr>
        <w:keepNext w:val="0"/>
        <w:keepLines w:val="0"/>
        <w:pageBreakBefore w:val="0"/>
        <w:kinsoku/>
        <w:wordWrap/>
        <w:overflowPunct/>
        <w:topLinePunct w:val="0"/>
        <w:autoSpaceDE/>
        <w:autoSpaceDN/>
        <w:bidi w:val="0"/>
        <w:adjustRightInd/>
        <w:snapToGrid/>
        <w:spacing w:after="0" w:afterLines="0" w:line="580" w:lineRule="exact"/>
        <w:jc w:val="center"/>
        <w:rPr>
          <w:rFonts w:hint="eastAsia" w:eastAsia="方正小标宋_GBK"/>
          <w:bCs/>
          <w:color w:val="000000" w:themeColor="text1"/>
          <w:sz w:val="44"/>
          <w:szCs w:val="44"/>
        </w:rPr>
      </w:pPr>
      <w:r>
        <w:rPr>
          <w:rFonts w:hint="eastAsia" w:eastAsia="方正小标宋_GBK"/>
          <w:bCs/>
          <w:color w:val="000000" w:themeColor="text1"/>
          <w:sz w:val="44"/>
          <w:szCs w:val="44"/>
        </w:rPr>
        <w:br w:type="page"/>
      </w:r>
      <w:r>
        <w:rPr>
          <w:rFonts w:hint="eastAsia" w:eastAsia="方正小标宋_GBK"/>
          <w:bCs/>
          <w:color w:val="000000" w:themeColor="text1"/>
          <w:sz w:val="44"/>
          <w:szCs w:val="44"/>
        </w:rPr>
        <w:t>重庆市严格能效约束</w:t>
      </w:r>
    </w:p>
    <w:p>
      <w:pPr>
        <w:keepNext w:val="0"/>
        <w:keepLines w:val="0"/>
        <w:pageBreakBefore w:val="0"/>
        <w:kinsoku/>
        <w:wordWrap/>
        <w:overflowPunct/>
        <w:topLinePunct w:val="0"/>
        <w:autoSpaceDE/>
        <w:autoSpaceDN/>
        <w:bidi w:val="0"/>
        <w:adjustRightInd/>
        <w:snapToGrid/>
        <w:spacing w:after="0" w:afterLines="0" w:line="580" w:lineRule="exact"/>
        <w:jc w:val="center"/>
        <w:rPr>
          <w:rFonts w:eastAsia="方正小标宋_GBK"/>
          <w:bCs/>
          <w:color w:val="000000" w:themeColor="text1"/>
          <w:sz w:val="44"/>
          <w:szCs w:val="44"/>
        </w:rPr>
      </w:pPr>
      <w:r>
        <w:rPr>
          <w:rFonts w:hint="eastAsia" w:eastAsia="方正小标宋_GBK"/>
          <w:bCs/>
          <w:color w:val="000000" w:themeColor="text1"/>
          <w:sz w:val="44"/>
          <w:szCs w:val="44"/>
        </w:rPr>
        <w:t>推动</w:t>
      </w:r>
      <w:r>
        <w:rPr>
          <w:rFonts w:eastAsia="方正小标宋_GBK"/>
          <w:bCs/>
          <w:color w:val="000000" w:themeColor="text1"/>
          <w:sz w:val="44"/>
          <w:szCs w:val="44"/>
        </w:rPr>
        <w:t>重点领域节能降碳实施方案</w:t>
      </w:r>
    </w:p>
    <w:p>
      <w:pPr>
        <w:adjustRightInd/>
        <w:spacing w:after="0" w:afterLines="0" w:line="240" w:lineRule="auto"/>
        <w:ind w:left="0" w:leftChars="0" w:right="0" w:firstLine="592" w:firstLineChars="200"/>
        <w:contextualSpacing/>
        <w:textAlignment w:val="auto"/>
        <w:rPr>
          <w:b w:val="0"/>
          <w:bCs w:val="0"/>
          <w:color w:val="000000" w:themeColor="text1"/>
          <w:kern w:val="2"/>
          <w:sz w:val="30"/>
          <w:szCs w:val="30"/>
        </w:rPr>
      </w:pP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rPr>
          <w:rFonts w:hint="eastAsia"/>
          <w:b w:val="0"/>
          <w:bCs w:val="0"/>
          <w:color w:val="000000" w:themeColor="text1"/>
        </w:rPr>
      </w:pPr>
      <w:r>
        <w:rPr>
          <w:b w:val="0"/>
          <w:bCs w:val="0"/>
          <w:color w:val="000000" w:themeColor="text1"/>
        </w:rPr>
        <w:t>为贯彻落实党中央国务院关于碳达峰碳中和重大战略部署</w:t>
      </w:r>
      <w:r>
        <w:rPr>
          <w:rFonts w:hint="eastAsia"/>
          <w:b w:val="0"/>
          <w:bCs w:val="0"/>
          <w:color w:val="000000" w:themeColor="text1"/>
        </w:rPr>
        <w:t>，</w:t>
      </w:r>
      <w:r>
        <w:rPr>
          <w:b w:val="0"/>
          <w:bCs w:val="0"/>
          <w:color w:val="000000" w:themeColor="text1"/>
        </w:rPr>
        <w:t>根据国家发展改革委、工业和信息化部、生态环境部、市场监管总局、国家能源局联合印发的《关于严格能效约束推动重点领域节能降碳的若干意见》</w:t>
      </w:r>
      <w:r>
        <w:rPr>
          <w:rFonts w:hint="eastAsia"/>
          <w:b w:val="0"/>
          <w:bCs w:val="0"/>
          <w:color w:val="000000" w:themeColor="text1"/>
        </w:rPr>
        <w:t>（</w:t>
      </w:r>
      <w:r>
        <w:rPr>
          <w:b w:val="0"/>
          <w:bCs w:val="0"/>
          <w:color w:val="000000" w:themeColor="text1"/>
        </w:rPr>
        <w:t>发改产业〔2021〕1464号</w:t>
      </w:r>
      <w:r>
        <w:rPr>
          <w:rFonts w:hint="eastAsia"/>
          <w:b w:val="0"/>
          <w:bCs w:val="0"/>
          <w:color w:val="000000" w:themeColor="text1"/>
        </w:rPr>
        <w:t>）和《</w:t>
      </w:r>
      <w:r>
        <w:rPr>
          <w:b w:val="0"/>
          <w:bCs w:val="0"/>
          <w:color w:val="000000" w:themeColor="text1"/>
        </w:rPr>
        <w:t>关于发布</w:t>
      </w:r>
      <w:r>
        <w:rPr>
          <w:rFonts w:hint="eastAsia"/>
          <w:b w:val="0"/>
          <w:bCs w:val="0"/>
          <w:color w:val="000000" w:themeColor="text1"/>
        </w:rPr>
        <w:t>〈</w:t>
      </w:r>
      <w:r>
        <w:rPr>
          <w:b w:val="0"/>
          <w:bCs w:val="0"/>
          <w:color w:val="000000" w:themeColor="text1"/>
        </w:rPr>
        <w:t>高耗能行业重点领域能效标杆水平和基准水平（2021年版）</w:t>
      </w:r>
      <w:r>
        <w:rPr>
          <w:rFonts w:hint="eastAsia"/>
          <w:b w:val="0"/>
          <w:bCs w:val="0"/>
          <w:color w:val="000000" w:themeColor="text1"/>
        </w:rPr>
        <w:t>〉</w:t>
      </w:r>
      <w:r>
        <w:rPr>
          <w:b w:val="0"/>
          <w:bCs w:val="0"/>
          <w:color w:val="000000" w:themeColor="text1"/>
        </w:rPr>
        <w:t>的通知</w:t>
      </w:r>
      <w:r>
        <w:rPr>
          <w:rFonts w:hint="eastAsia"/>
          <w:b w:val="0"/>
          <w:bCs w:val="0"/>
          <w:color w:val="000000" w:themeColor="text1"/>
        </w:rPr>
        <w:t>》（</w:t>
      </w:r>
      <w:r>
        <w:rPr>
          <w:b w:val="0"/>
          <w:bCs w:val="0"/>
          <w:color w:val="000000" w:themeColor="text1"/>
        </w:rPr>
        <w:t>发改产业〔2021〕1609号</w:t>
      </w:r>
      <w:r>
        <w:rPr>
          <w:rFonts w:hint="eastAsia"/>
          <w:b w:val="0"/>
          <w:bCs w:val="0"/>
          <w:color w:val="000000" w:themeColor="text1"/>
        </w:rPr>
        <w:t>）（以下分别简称《意见》《通知》），</w:t>
      </w:r>
      <w:r>
        <w:rPr>
          <w:b w:val="0"/>
          <w:bCs w:val="0"/>
          <w:color w:val="000000" w:themeColor="text1"/>
        </w:rPr>
        <w:t>科学有序推动重庆市重点领域节能降碳</w:t>
      </w:r>
      <w:r>
        <w:rPr>
          <w:rFonts w:hint="eastAsia"/>
          <w:b w:val="0"/>
          <w:bCs w:val="0"/>
          <w:color w:val="000000" w:themeColor="text1"/>
        </w:rPr>
        <w:t>，加快重点行业绿色</w:t>
      </w:r>
      <w:r>
        <w:rPr>
          <w:b w:val="0"/>
          <w:bCs w:val="0"/>
          <w:color w:val="000000" w:themeColor="text1"/>
        </w:rPr>
        <w:t>转型</w:t>
      </w:r>
      <w:r>
        <w:rPr>
          <w:rFonts w:hint="eastAsia"/>
          <w:b w:val="0"/>
          <w:bCs w:val="0"/>
          <w:color w:val="000000" w:themeColor="text1"/>
        </w:rPr>
        <w:t>，制定本实施方案。</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textAlignment w:val="auto"/>
        <w:rPr>
          <w:rFonts w:hint="eastAsia" w:ascii="方正黑体_GBK" w:hAnsi="方正黑体_GBK" w:eastAsia="方正黑体_GBK" w:cs="方正黑体_GBK"/>
          <w:b w:val="0"/>
          <w:bCs w:val="0"/>
          <w:color w:val="000000" w:themeColor="text1"/>
          <w:kern w:val="0"/>
          <w:sz w:val="20"/>
          <w:szCs w:val="20"/>
          <w:lang w:val="en-US" w:eastAsia="zh-CN"/>
        </w:rPr>
      </w:pPr>
      <w:r>
        <w:rPr>
          <w:rFonts w:hint="eastAsia" w:ascii="方正黑体_GBK" w:hAnsi="方正黑体_GBK" w:eastAsia="方正黑体_GBK" w:cs="方正黑体_GBK"/>
          <w:b w:val="0"/>
          <w:bCs w:val="0"/>
          <w:color w:val="000000" w:themeColor="text1"/>
        </w:rPr>
        <w:t>一、总体要求</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textAlignment w:val="auto"/>
        <w:rPr>
          <w:rFonts w:hint="eastAsia" w:ascii="方正楷体_GBK" w:hAnsi="方正楷体_GBK" w:eastAsia="方正楷体_GBK" w:cs="方正楷体_GBK"/>
          <w:b w:val="0"/>
          <w:bCs w:val="0"/>
          <w:color w:val="000000" w:themeColor="text1"/>
        </w:rPr>
      </w:pPr>
      <w:r>
        <w:rPr>
          <w:rFonts w:hint="eastAsia" w:ascii="方正楷体_GBK" w:hAnsi="方正楷体_GBK" w:eastAsia="方正楷体_GBK" w:cs="方正楷体_GBK"/>
          <w:b w:val="0"/>
          <w:bCs w:val="0"/>
          <w:color w:val="000000" w:themeColor="text1"/>
        </w:rPr>
        <w:t>（一）指导思想</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rPr>
          <w:b w:val="0"/>
          <w:bCs w:val="0"/>
          <w:color w:val="000000" w:themeColor="text1"/>
        </w:rPr>
      </w:pPr>
      <w:r>
        <w:rPr>
          <w:b w:val="0"/>
          <w:bCs w:val="0"/>
          <w:color w:val="000000" w:themeColor="text1"/>
        </w:rPr>
        <w:t>以习近平新时代中国特色社会主义思想为指导，深入贯彻习近平生态文明思想和习近平总书记对重庆提出的营造良好政治生态，坚持</w:t>
      </w:r>
      <w:r>
        <w:rPr>
          <w:rFonts w:hint="eastAsia" w:ascii="方正仿宋_GBK" w:hAnsi="方正仿宋_GBK" w:cs="方正仿宋_GBK"/>
          <w:b w:val="0"/>
          <w:bCs w:val="0"/>
          <w:color w:val="000000" w:themeColor="text1"/>
        </w:rPr>
        <w:t>“</w:t>
      </w:r>
      <w:r>
        <w:rPr>
          <w:b w:val="0"/>
          <w:bCs w:val="0"/>
          <w:color w:val="000000" w:themeColor="text1"/>
        </w:rPr>
        <w:t>两点</w:t>
      </w:r>
      <w:r>
        <w:rPr>
          <w:rFonts w:hint="eastAsia" w:ascii="方正仿宋_GBK" w:hAnsi="方正仿宋_GBK" w:cs="方正仿宋_GBK"/>
          <w:b w:val="0"/>
          <w:bCs w:val="0"/>
          <w:color w:val="000000" w:themeColor="text1"/>
        </w:rPr>
        <w:t>”</w:t>
      </w:r>
      <w:r>
        <w:rPr>
          <w:b w:val="0"/>
          <w:bCs w:val="0"/>
          <w:color w:val="000000" w:themeColor="text1"/>
        </w:rPr>
        <w:t>定位、</w:t>
      </w:r>
      <w:r>
        <w:rPr>
          <w:rFonts w:hint="eastAsia" w:ascii="方正仿宋_GBK" w:hAnsi="方正仿宋_GBK" w:cs="方正仿宋_GBK"/>
          <w:b w:val="0"/>
          <w:bCs w:val="0"/>
          <w:color w:val="000000" w:themeColor="text1"/>
        </w:rPr>
        <w:t>“</w:t>
      </w:r>
      <w:r>
        <w:rPr>
          <w:b w:val="0"/>
          <w:bCs w:val="0"/>
          <w:color w:val="000000" w:themeColor="text1"/>
        </w:rPr>
        <w:t>两地</w:t>
      </w:r>
      <w:r>
        <w:rPr>
          <w:rFonts w:hint="eastAsia" w:ascii="方正仿宋_GBK" w:hAnsi="方正仿宋_GBK" w:cs="方正仿宋_GBK"/>
          <w:b w:val="0"/>
          <w:bCs w:val="0"/>
          <w:color w:val="000000" w:themeColor="text1"/>
        </w:rPr>
        <w:t>”“</w:t>
      </w:r>
      <w:r>
        <w:rPr>
          <w:b w:val="0"/>
          <w:bCs w:val="0"/>
          <w:color w:val="000000" w:themeColor="text1"/>
        </w:rPr>
        <w:t>两高</w:t>
      </w:r>
      <w:r>
        <w:rPr>
          <w:rFonts w:hint="eastAsia" w:ascii="方正仿宋_GBK" w:hAnsi="方正仿宋_GBK" w:cs="方正仿宋_GBK"/>
          <w:b w:val="0"/>
          <w:bCs w:val="0"/>
          <w:color w:val="000000" w:themeColor="text1"/>
        </w:rPr>
        <w:t>”</w:t>
      </w:r>
      <w:r>
        <w:rPr>
          <w:b w:val="0"/>
          <w:bCs w:val="0"/>
          <w:color w:val="000000" w:themeColor="text1"/>
        </w:rPr>
        <w:t>目标，发挥</w:t>
      </w:r>
      <w:r>
        <w:rPr>
          <w:rFonts w:hint="eastAsia" w:ascii="方正仿宋_GBK" w:hAnsi="方正仿宋_GBK" w:cs="方正仿宋_GBK"/>
          <w:b w:val="0"/>
          <w:bCs w:val="0"/>
          <w:color w:val="000000" w:themeColor="text1"/>
        </w:rPr>
        <w:t>“</w:t>
      </w:r>
      <w:r>
        <w:rPr>
          <w:b w:val="0"/>
          <w:bCs w:val="0"/>
          <w:color w:val="000000" w:themeColor="text1"/>
        </w:rPr>
        <w:t>三个作用</w:t>
      </w:r>
      <w:r>
        <w:rPr>
          <w:rFonts w:hint="eastAsia" w:ascii="方正仿宋_GBK" w:hAnsi="方正仿宋_GBK" w:cs="方正仿宋_GBK"/>
          <w:b w:val="0"/>
          <w:bCs w:val="0"/>
          <w:color w:val="000000" w:themeColor="text1"/>
        </w:rPr>
        <w:t>”</w:t>
      </w:r>
      <w:r>
        <w:rPr>
          <w:b w:val="0"/>
          <w:bCs w:val="0"/>
          <w:color w:val="000000" w:themeColor="text1"/>
        </w:rPr>
        <w:t>和推动成渝地区双城经济圈等重要指示要求，立足新发展阶段，完整、准确、全面贯彻新发展理念，</w:t>
      </w:r>
      <w:r>
        <w:rPr>
          <w:rFonts w:hint="eastAsia"/>
          <w:b w:val="0"/>
          <w:bCs w:val="0"/>
          <w:color w:val="000000" w:themeColor="text1"/>
        </w:rPr>
        <w:t>积极融入和服务</w:t>
      </w:r>
      <w:r>
        <w:rPr>
          <w:b w:val="0"/>
          <w:bCs w:val="0"/>
          <w:color w:val="000000" w:themeColor="text1"/>
        </w:rPr>
        <w:t>新发展格局，科学处理发展和减排、整体和局部、短期和中长期的关系，突出标准引领作用，深挖节能降碳技术改造潜力，强化系统观念，推进综合施策，严格监督管理，加快重点领域节能降碳步伐，带动</w:t>
      </w:r>
      <w:r>
        <w:rPr>
          <w:rFonts w:hint="eastAsia"/>
          <w:b w:val="0"/>
          <w:bCs w:val="0"/>
          <w:color w:val="000000" w:themeColor="text1"/>
        </w:rPr>
        <w:t>产业</w:t>
      </w:r>
      <w:r>
        <w:rPr>
          <w:b w:val="0"/>
          <w:bCs w:val="0"/>
          <w:color w:val="000000" w:themeColor="text1"/>
        </w:rPr>
        <w:t>绿色低碳转型，助推全市</w:t>
      </w:r>
      <w:r>
        <w:rPr>
          <w:rFonts w:hint="eastAsia"/>
          <w:b w:val="0"/>
          <w:bCs w:val="0"/>
          <w:color w:val="000000" w:themeColor="text1"/>
        </w:rPr>
        <w:t>绿色低碳循环发展经济体系</w:t>
      </w:r>
      <w:r>
        <w:rPr>
          <w:b w:val="0"/>
          <w:bCs w:val="0"/>
          <w:color w:val="000000" w:themeColor="text1"/>
        </w:rPr>
        <w:t>建立</w:t>
      </w:r>
      <w:r>
        <w:rPr>
          <w:rFonts w:hint="eastAsia"/>
          <w:b w:val="0"/>
          <w:bCs w:val="0"/>
          <w:color w:val="000000" w:themeColor="text1"/>
        </w:rPr>
        <w:t>，</w:t>
      </w:r>
      <w:r>
        <w:rPr>
          <w:b w:val="0"/>
          <w:bCs w:val="0"/>
          <w:color w:val="000000" w:themeColor="text1"/>
        </w:rPr>
        <w:t>确保如期实现碳达峰目标。</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textAlignment w:val="auto"/>
        <w:rPr>
          <w:rFonts w:hint="eastAsia" w:ascii="方正楷体_GBK" w:hAnsi="方正楷体_GBK" w:eastAsia="方正楷体_GBK" w:cs="方正楷体_GBK"/>
          <w:b w:val="0"/>
          <w:bCs w:val="0"/>
          <w:color w:val="000000" w:themeColor="text1"/>
        </w:rPr>
      </w:pPr>
      <w:r>
        <w:rPr>
          <w:rFonts w:hint="eastAsia" w:ascii="方正楷体_GBK" w:hAnsi="方正楷体_GBK" w:eastAsia="方正楷体_GBK" w:cs="方正楷体_GBK"/>
          <w:b w:val="0"/>
          <w:bCs w:val="0"/>
          <w:color w:val="000000" w:themeColor="text1"/>
        </w:rPr>
        <w:t>（二）基本原则</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rPr>
          <w:b w:val="0"/>
          <w:bCs w:val="0"/>
          <w:color w:val="000000" w:themeColor="text1"/>
        </w:rPr>
      </w:pPr>
      <w:r>
        <w:rPr>
          <w:b w:val="0"/>
          <w:bCs w:val="0"/>
          <w:color w:val="000000" w:themeColor="text1"/>
        </w:rPr>
        <w:t>坚持重点突破</w:t>
      </w:r>
      <w:r>
        <w:rPr>
          <w:rFonts w:hint="eastAsia"/>
          <w:b w:val="0"/>
          <w:bCs w:val="0"/>
          <w:color w:val="000000" w:themeColor="text1"/>
        </w:rPr>
        <w:t>，</w:t>
      </w:r>
      <w:r>
        <w:rPr>
          <w:b w:val="0"/>
          <w:bCs w:val="0"/>
          <w:color w:val="000000" w:themeColor="text1"/>
        </w:rPr>
        <w:t>分步实施。把握重庆发展阶段和产业特征</w:t>
      </w:r>
      <w:r>
        <w:rPr>
          <w:rFonts w:hint="eastAsia"/>
          <w:b w:val="0"/>
          <w:bCs w:val="0"/>
          <w:color w:val="000000" w:themeColor="text1"/>
        </w:rPr>
        <w:t>，</w:t>
      </w:r>
      <w:r>
        <w:rPr>
          <w:b w:val="0"/>
          <w:bCs w:val="0"/>
          <w:color w:val="000000" w:themeColor="text1"/>
        </w:rPr>
        <w:t>抓住主要矛盾</w:t>
      </w:r>
      <w:r>
        <w:rPr>
          <w:rFonts w:hint="eastAsia"/>
          <w:b w:val="0"/>
          <w:bCs w:val="0"/>
          <w:color w:val="000000" w:themeColor="text1"/>
        </w:rPr>
        <w:t>，聚焦重点领域，</w:t>
      </w:r>
      <w:r>
        <w:rPr>
          <w:b w:val="0"/>
          <w:bCs w:val="0"/>
          <w:color w:val="000000" w:themeColor="text1"/>
        </w:rPr>
        <w:t>稳妥开展节能降碳技术改造。待相关机制及改造路径运行成熟</w:t>
      </w:r>
      <w:r>
        <w:rPr>
          <w:rFonts w:hint="eastAsia"/>
          <w:b w:val="0"/>
          <w:bCs w:val="0"/>
          <w:color w:val="000000" w:themeColor="text1"/>
        </w:rPr>
        <w:t>和能效水平标准明确</w:t>
      </w:r>
      <w:r>
        <w:rPr>
          <w:b w:val="0"/>
          <w:bCs w:val="0"/>
          <w:color w:val="000000" w:themeColor="text1"/>
        </w:rPr>
        <w:t>后</w:t>
      </w:r>
      <w:r>
        <w:rPr>
          <w:rFonts w:hint="eastAsia"/>
          <w:b w:val="0"/>
          <w:bCs w:val="0"/>
          <w:color w:val="000000" w:themeColor="text1"/>
        </w:rPr>
        <w:t>，</w:t>
      </w:r>
      <w:r>
        <w:rPr>
          <w:b w:val="0"/>
          <w:bCs w:val="0"/>
          <w:color w:val="000000" w:themeColor="text1"/>
        </w:rPr>
        <w:t>再研究推广至其他行业领域。</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rPr>
          <w:rFonts w:hint="eastAsia"/>
          <w:b w:val="0"/>
          <w:bCs w:val="0"/>
          <w:color w:val="000000" w:themeColor="text1"/>
        </w:rPr>
      </w:pPr>
      <w:r>
        <w:rPr>
          <w:b w:val="0"/>
          <w:bCs w:val="0"/>
          <w:color w:val="000000" w:themeColor="text1"/>
        </w:rPr>
        <w:t>坚持对标标杆</w:t>
      </w:r>
      <w:r>
        <w:rPr>
          <w:rFonts w:hint="eastAsia"/>
          <w:b w:val="0"/>
          <w:bCs w:val="0"/>
          <w:color w:val="000000" w:themeColor="text1"/>
        </w:rPr>
        <w:t>，分类指导</w:t>
      </w:r>
      <w:r>
        <w:rPr>
          <w:b w:val="0"/>
          <w:bCs w:val="0"/>
          <w:color w:val="000000" w:themeColor="text1"/>
        </w:rPr>
        <w:t>。突出标准引领作用</w:t>
      </w:r>
      <w:r>
        <w:rPr>
          <w:rFonts w:hint="eastAsia"/>
          <w:b w:val="0"/>
          <w:bCs w:val="0"/>
          <w:color w:val="000000" w:themeColor="text1"/>
        </w:rPr>
        <w:t>，根据各行业实际情况，</w:t>
      </w:r>
      <w:r>
        <w:rPr>
          <w:b w:val="0"/>
          <w:bCs w:val="0"/>
          <w:color w:val="000000" w:themeColor="text1"/>
        </w:rPr>
        <w:t>对标国家</w:t>
      </w:r>
      <w:r>
        <w:rPr>
          <w:rFonts w:hint="eastAsia"/>
          <w:b w:val="0"/>
          <w:bCs w:val="0"/>
          <w:color w:val="000000" w:themeColor="text1"/>
        </w:rPr>
        <w:t>明确</w:t>
      </w:r>
      <w:r>
        <w:rPr>
          <w:b w:val="0"/>
          <w:bCs w:val="0"/>
          <w:color w:val="000000" w:themeColor="text1"/>
        </w:rPr>
        <w:t>的高耗能行业重点领域能效水平严格实施分类管理</w:t>
      </w:r>
      <w:r>
        <w:rPr>
          <w:rFonts w:hint="eastAsia"/>
          <w:b w:val="0"/>
          <w:bCs w:val="0"/>
          <w:color w:val="000000" w:themeColor="text1"/>
        </w:rPr>
        <w:t>，</w:t>
      </w:r>
      <w:r>
        <w:rPr>
          <w:b w:val="0"/>
          <w:bCs w:val="0"/>
          <w:color w:val="000000" w:themeColor="text1"/>
        </w:rPr>
        <w:t>拟</w:t>
      </w:r>
      <w:r>
        <w:rPr>
          <w:rFonts w:hint="eastAsia"/>
          <w:b w:val="0"/>
          <w:bCs w:val="0"/>
          <w:color w:val="000000" w:themeColor="text1"/>
        </w:rPr>
        <w:t>建项目应对照标杆水平高起点设计建设，</w:t>
      </w:r>
      <w:r>
        <w:rPr>
          <w:b w:val="0"/>
          <w:bCs w:val="0"/>
          <w:color w:val="000000" w:themeColor="text1"/>
        </w:rPr>
        <w:t>引导</w:t>
      </w:r>
      <w:r>
        <w:rPr>
          <w:rFonts w:hint="eastAsia"/>
          <w:b w:val="0"/>
          <w:bCs w:val="0"/>
          <w:color w:val="000000" w:themeColor="text1"/>
        </w:rPr>
        <w:t>未达到基准水平的存量</w:t>
      </w:r>
      <w:r>
        <w:rPr>
          <w:b w:val="0"/>
          <w:bCs w:val="0"/>
          <w:color w:val="000000" w:themeColor="text1"/>
        </w:rPr>
        <w:t>和在建</w:t>
      </w:r>
      <w:r>
        <w:rPr>
          <w:rFonts w:hint="eastAsia"/>
          <w:b w:val="0"/>
          <w:bCs w:val="0"/>
          <w:color w:val="000000" w:themeColor="text1"/>
        </w:rPr>
        <w:t>项目对照标杆水平实施改造升级，</w:t>
      </w:r>
      <w:r>
        <w:rPr>
          <w:b w:val="0"/>
          <w:bCs w:val="0"/>
          <w:color w:val="000000" w:themeColor="text1"/>
        </w:rPr>
        <w:t>坚决淘汰</w:t>
      </w:r>
      <w:r>
        <w:rPr>
          <w:rFonts w:hint="eastAsia"/>
          <w:b w:val="0"/>
          <w:bCs w:val="0"/>
          <w:color w:val="000000" w:themeColor="text1"/>
        </w:rPr>
        <w:t>落后产能、</w:t>
      </w:r>
      <w:r>
        <w:rPr>
          <w:b w:val="0"/>
          <w:bCs w:val="0"/>
          <w:color w:val="000000" w:themeColor="text1"/>
        </w:rPr>
        <w:t>落后工艺</w:t>
      </w:r>
      <w:r>
        <w:rPr>
          <w:rFonts w:hint="eastAsia"/>
          <w:b w:val="0"/>
          <w:bCs w:val="0"/>
          <w:color w:val="000000" w:themeColor="text1"/>
        </w:rPr>
        <w:t>、</w:t>
      </w:r>
      <w:r>
        <w:rPr>
          <w:b w:val="0"/>
          <w:bCs w:val="0"/>
          <w:color w:val="000000" w:themeColor="text1"/>
        </w:rPr>
        <w:t>落后产品</w:t>
      </w:r>
      <w:r>
        <w:rPr>
          <w:rFonts w:hint="eastAsia"/>
          <w:b w:val="0"/>
          <w:bCs w:val="0"/>
          <w:color w:val="000000" w:themeColor="text1"/>
        </w:rPr>
        <w:t>。</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rPr>
          <w:b w:val="0"/>
          <w:bCs w:val="0"/>
          <w:color w:val="000000" w:themeColor="text1"/>
        </w:rPr>
      </w:pPr>
      <w:r>
        <w:rPr>
          <w:b w:val="0"/>
          <w:bCs w:val="0"/>
          <w:color w:val="000000" w:themeColor="text1"/>
        </w:rPr>
        <w:t>坚持从严监管，分工协作</w:t>
      </w:r>
      <w:r>
        <w:rPr>
          <w:rFonts w:hint="eastAsia"/>
          <w:b w:val="0"/>
          <w:bCs w:val="0"/>
          <w:color w:val="000000" w:themeColor="text1"/>
        </w:rPr>
        <w:t>。压实企业主体责任，</w:t>
      </w:r>
      <w:r>
        <w:rPr>
          <w:b w:val="0"/>
          <w:bCs w:val="0"/>
          <w:color w:val="000000" w:themeColor="text1"/>
        </w:rPr>
        <w:t>落实区县政府属地监管责任</w:t>
      </w:r>
      <w:r>
        <w:rPr>
          <w:rFonts w:hint="eastAsia"/>
          <w:b w:val="0"/>
          <w:bCs w:val="0"/>
          <w:color w:val="000000" w:themeColor="text1"/>
        </w:rPr>
        <w:t>，</w:t>
      </w:r>
      <w:r>
        <w:rPr>
          <w:b w:val="0"/>
          <w:bCs w:val="0"/>
          <w:color w:val="000000" w:themeColor="text1"/>
        </w:rPr>
        <w:t>强化市级部门协同联动</w:t>
      </w:r>
      <w:r>
        <w:rPr>
          <w:rFonts w:hint="eastAsia"/>
          <w:b w:val="0"/>
          <w:bCs w:val="0"/>
          <w:color w:val="000000" w:themeColor="text1"/>
        </w:rPr>
        <w:t>，</w:t>
      </w:r>
      <w:r>
        <w:rPr>
          <w:b w:val="0"/>
          <w:bCs w:val="0"/>
          <w:color w:val="000000" w:themeColor="text1"/>
        </w:rPr>
        <w:t>加强专业机构和行业协会指导帮助</w:t>
      </w:r>
      <w:r>
        <w:rPr>
          <w:rFonts w:hint="eastAsia"/>
          <w:b w:val="0"/>
          <w:bCs w:val="0"/>
          <w:color w:val="000000" w:themeColor="text1"/>
        </w:rPr>
        <w:t>。严格节能审查和事中事后监管，</w:t>
      </w:r>
      <w:r>
        <w:rPr>
          <w:b w:val="0"/>
          <w:bCs w:val="0"/>
          <w:color w:val="000000" w:themeColor="text1"/>
        </w:rPr>
        <w:t>加强企业能耗和碳排放日常监测</w:t>
      </w:r>
      <w:r>
        <w:rPr>
          <w:rFonts w:hint="eastAsia"/>
          <w:b w:val="0"/>
          <w:bCs w:val="0"/>
          <w:color w:val="000000" w:themeColor="text1"/>
        </w:rPr>
        <w:t>，</w:t>
      </w:r>
      <w:r>
        <w:rPr>
          <w:b w:val="0"/>
          <w:bCs w:val="0"/>
          <w:color w:val="000000" w:themeColor="text1"/>
        </w:rPr>
        <w:t>建立健全违规行为监督问责机制。</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rPr>
          <w:b w:val="0"/>
          <w:bCs w:val="0"/>
          <w:color w:val="000000" w:themeColor="text1"/>
        </w:rPr>
      </w:pPr>
      <w:r>
        <w:rPr>
          <w:b w:val="0"/>
          <w:bCs w:val="0"/>
          <w:color w:val="000000" w:themeColor="text1"/>
        </w:rPr>
        <w:t>坚持综合施策</w:t>
      </w:r>
      <w:r>
        <w:rPr>
          <w:rFonts w:hint="eastAsia"/>
          <w:b w:val="0"/>
          <w:bCs w:val="0"/>
          <w:color w:val="000000" w:themeColor="text1"/>
        </w:rPr>
        <w:t>，</w:t>
      </w:r>
      <w:r>
        <w:rPr>
          <w:b w:val="0"/>
          <w:bCs w:val="0"/>
          <w:color w:val="000000" w:themeColor="text1"/>
        </w:rPr>
        <w:t>平稳有序。整合已有政策工具，加强财政、金融、投资、价格等政策与产业、环保政策的协调配合，运用市场化法治化方式，稳妥有序推动重点领域节能降碳。避免</w:t>
      </w:r>
      <w:r>
        <w:rPr>
          <w:rFonts w:hint="eastAsia" w:ascii="方正仿宋_GBK" w:hAnsi="方正仿宋_GBK" w:cs="方正仿宋_GBK"/>
          <w:b w:val="0"/>
          <w:bCs w:val="0"/>
          <w:color w:val="000000" w:themeColor="text1"/>
        </w:rPr>
        <w:t>“</w:t>
      </w:r>
      <w:r>
        <w:rPr>
          <w:b w:val="0"/>
          <w:bCs w:val="0"/>
          <w:color w:val="000000" w:themeColor="text1"/>
        </w:rPr>
        <w:t>一刀切</w:t>
      </w:r>
      <w:r>
        <w:rPr>
          <w:rFonts w:hint="eastAsia" w:ascii="方正仿宋_GBK" w:hAnsi="方正仿宋_GBK" w:cs="方正仿宋_GBK"/>
          <w:b w:val="0"/>
          <w:bCs w:val="0"/>
          <w:color w:val="000000" w:themeColor="text1"/>
        </w:rPr>
        <w:t>”</w:t>
      </w:r>
      <w:r>
        <w:rPr>
          <w:b w:val="0"/>
          <w:bCs w:val="0"/>
          <w:color w:val="000000" w:themeColor="text1"/>
        </w:rPr>
        <w:t>管理和</w:t>
      </w:r>
      <w:r>
        <w:rPr>
          <w:rFonts w:hint="eastAsia" w:ascii="方正仿宋_GBK" w:hAnsi="方正仿宋_GBK" w:cs="方正仿宋_GBK"/>
          <w:b w:val="0"/>
          <w:bCs w:val="0"/>
          <w:color w:val="000000" w:themeColor="text1"/>
        </w:rPr>
        <w:t>“</w:t>
      </w:r>
      <w:r>
        <w:rPr>
          <w:b w:val="0"/>
          <w:bCs w:val="0"/>
          <w:color w:val="000000" w:themeColor="text1"/>
        </w:rPr>
        <w:t>运动式</w:t>
      </w:r>
      <w:r>
        <w:rPr>
          <w:rFonts w:hint="eastAsia" w:ascii="方正仿宋_GBK" w:hAnsi="方正仿宋_GBK" w:cs="方正仿宋_GBK"/>
          <w:b w:val="0"/>
          <w:bCs w:val="0"/>
          <w:color w:val="000000" w:themeColor="text1"/>
        </w:rPr>
        <w:t>”</w:t>
      </w:r>
      <w:r>
        <w:rPr>
          <w:b w:val="0"/>
          <w:bCs w:val="0"/>
          <w:color w:val="000000" w:themeColor="text1"/>
        </w:rPr>
        <w:t>减碳，确保产业链供应链安全和经济社会平稳运行。</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textAlignment w:val="auto"/>
        <w:rPr>
          <w:rFonts w:hint="eastAsia" w:ascii="方正楷体_GBK" w:hAnsi="方正楷体_GBK" w:eastAsia="方正楷体_GBK" w:cs="方正楷体_GBK"/>
          <w:b w:val="0"/>
          <w:bCs w:val="0"/>
          <w:color w:val="000000" w:themeColor="text1"/>
        </w:rPr>
      </w:pPr>
      <w:r>
        <w:rPr>
          <w:rFonts w:hint="eastAsia" w:ascii="方正楷体_GBK" w:hAnsi="方正楷体_GBK" w:eastAsia="方正楷体_GBK" w:cs="方正楷体_GBK"/>
          <w:b w:val="0"/>
          <w:bCs w:val="0"/>
          <w:color w:val="000000" w:themeColor="text1"/>
        </w:rPr>
        <w:t>（三）总体目标</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rPr>
          <w:b w:val="0"/>
          <w:bCs w:val="0"/>
          <w:color w:val="000000" w:themeColor="text1"/>
        </w:rPr>
      </w:pPr>
      <w:r>
        <w:rPr>
          <w:b w:val="0"/>
          <w:bCs w:val="0"/>
          <w:color w:val="000000" w:themeColor="text1"/>
        </w:rPr>
        <w:t>到2025年，通过</w:t>
      </w:r>
      <w:r>
        <w:rPr>
          <w:rFonts w:hint="eastAsia"/>
          <w:b w:val="0"/>
          <w:bCs w:val="0"/>
          <w:color w:val="000000" w:themeColor="text1"/>
        </w:rPr>
        <w:t>扎实</w:t>
      </w:r>
      <w:r>
        <w:rPr>
          <w:b w:val="0"/>
          <w:bCs w:val="0"/>
          <w:color w:val="000000" w:themeColor="text1"/>
        </w:rPr>
        <w:t>开展节能降碳行动，</w:t>
      </w:r>
      <w:r>
        <w:rPr>
          <w:rFonts w:hint="eastAsia"/>
          <w:b w:val="0"/>
          <w:bCs w:val="0"/>
          <w:color w:val="000000" w:themeColor="text1"/>
        </w:rPr>
        <w:t>推动重庆传统支柱产业绿色低碳转型，</w:t>
      </w:r>
      <w:r>
        <w:rPr>
          <w:b w:val="0"/>
          <w:bCs w:val="0"/>
          <w:color w:val="000000" w:themeColor="text1"/>
        </w:rPr>
        <w:t>全市冶金</w:t>
      </w:r>
      <w:r>
        <w:rPr>
          <w:rFonts w:hint="eastAsia"/>
          <w:b w:val="0"/>
          <w:bCs w:val="0"/>
          <w:color w:val="000000" w:themeColor="text1"/>
        </w:rPr>
        <w:t>、</w:t>
      </w:r>
      <w:r>
        <w:rPr>
          <w:b w:val="0"/>
          <w:bCs w:val="0"/>
          <w:color w:val="000000" w:themeColor="text1"/>
        </w:rPr>
        <w:t>建材</w:t>
      </w:r>
      <w:r>
        <w:rPr>
          <w:rFonts w:hint="eastAsia"/>
          <w:b w:val="0"/>
          <w:bCs w:val="0"/>
          <w:color w:val="000000" w:themeColor="text1"/>
        </w:rPr>
        <w:t>、</w:t>
      </w:r>
      <w:r>
        <w:rPr>
          <w:b w:val="0"/>
          <w:bCs w:val="0"/>
          <w:color w:val="000000" w:themeColor="text1"/>
        </w:rPr>
        <w:t>石化化工等重点行业和数据中心整体能效水平明显提升，</w:t>
      </w:r>
      <w:r>
        <w:rPr>
          <w:rFonts w:hint="eastAsia"/>
          <w:b w:val="0"/>
          <w:bCs w:val="0"/>
          <w:color w:val="000000" w:themeColor="text1"/>
        </w:rPr>
        <w:t>碳排放强度明显下降，绿色低碳发展能力显著增强，重点领域能效全部达到基准水平，标杆水平产能比例</w:t>
      </w:r>
      <w:r>
        <w:rPr>
          <w:b w:val="0"/>
          <w:bCs w:val="0"/>
          <w:color w:val="000000" w:themeColor="text1"/>
        </w:rPr>
        <w:t>超过</w:t>
      </w:r>
      <w:r>
        <w:rPr>
          <w:rFonts w:hint="default"/>
          <w:b w:val="0"/>
          <w:bCs w:val="0"/>
          <w:color w:val="000000" w:themeColor="text1"/>
        </w:rPr>
        <w:t>30%</w:t>
      </w:r>
      <w:r>
        <w:rPr>
          <w:rFonts w:hint="eastAsia"/>
          <w:b w:val="0"/>
          <w:bCs w:val="0"/>
          <w:color w:val="000000" w:themeColor="text1"/>
        </w:rPr>
        <w:t>。</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rPr>
          <w:b w:val="0"/>
          <w:bCs w:val="0"/>
          <w:color w:val="000000" w:themeColor="text1"/>
        </w:rPr>
      </w:pPr>
      <w:r>
        <w:rPr>
          <w:b w:val="0"/>
          <w:bCs w:val="0"/>
          <w:color w:val="000000" w:themeColor="text1"/>
        </w:rPr>
        <w:t>到2030年，重点领域能效基准水平和标杆水平进一步提高，达到标杆水平企业比例大幅提高，行业整体能效水平和碳排放强度达到国际先进水平，为如期实现碳达峰目标提供有力支撑。</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textAlignment w:val="auto"/>
        <w:rPr>
          <w:rFonts w:hint="eastAsia" w:ascii="方正黑体_GBK" w:hAnsi="方正黑体_GBK" w:eastAsia="方正黑体_GBK" w:cs="方正黑体_GBK"/>
          <w:b w:val="0"/>
          <w:bCs w:val="0"/>
          <w:color w:val="000000" w:themeColor="text1"/>
          <w:kern w:val="0"/>
          <w:sz w:val="20"/>
          <w:szCs w:val="20"/>
          <w:lang w:val="en-US" w:eastAsia="zh-CN"/>
        </w:rPr>
      </w:pPr>
      <w:r>
        <w:rPr>
          <w:rFonts w:hint="eastAsia" w:ascii="方正黑体_GBK" w:hAnsi="方正黑体_GBK" w:eastAsia="方正黑体_GBK" w:cs="方正黑体_GBK"/>
          <w:b w:val="0"/>
          <w:bCs w:val="0"/>
          <w:color w:val="000000" w:themeColor="text1"/>
        </w:rPr>
        <w:t>二、重点任务</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textAlignment w:val="auto"/>
        <w:rPr>
          <w:rFonts w:hint="eastAsia" w:ascii="方正楷体_GBK" w:hAnsi="方正楷体_GBK" w:eastAsia="方正楷体_GBK" w:cs="方正楷体_GBK"/>
          <w:b w:val="0"/>
          <w:bCs w:val="0"/>
          <w:color w:val="000000" w:themeColor="text1"/>
        </w:rPr>
      </w:pPr>
      <w:r>
        <w:rPr>
          <w:rFonts w:hint="eastAsia" w:ascii="方正楷体_GBK" w:hAnsi="方正楷体_GBK" w:eastAsia="方正楷体_GBK" w:cs="方正楷体_GBK"/>
          <w:b w:val="0"/>
          <w:bCs w:val="0"/>
          <w:color w:val="000000" w:themeColor="text1"/>
        </w:rPr>
        <w:t>（一）建立完善企业能效清单</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rPr>
          <w:rFonts w:asciiTheme="minorHAnsi" w:hAnsiTheme="minorHAnsi" w:eastAsiaTheme="minorEastAsia" w:cstheme="minorBidi"/>
          <w:b w:val="0"/>
          <w:bCs w:val="0"/>
          <w:color w:val="000000" w:themeColor="text1"/>
          <w:kern w:val="2"/>
          <w:sz w:val="21"/>
          <w:szCs w:val="22"/>
        </w:rPr>
      </w:pPr>
      <w:r>
        <w:rPr>
          <w:b w:val="0"/>
          <w:bCs w:val="0"/>
          <w:color w:val="000000" w:themeColor="text1"/>
        </w:rPr>
        <w:t>市</w:t>
      </w:r>
      <w:r>
        <w:rPr>
          <w:rFonts w:hint="eastAsia"/>
          <w:b w:val="0"/>
          <w:bCs w:val="0"/>
          <w:color w:val="000000" w:themeColor="text1"/>
        </w:rPr>
        <w:t>、</w:t>
      </w:r>
      <w:r>
        <w:rPr>
          <w:b w:val="0"/>
          <w:bCs w:val="0"/>
          <w:color w:val="000000" w:themeColor="text1"/>
        </w:rPr>
        <w:t>区两级联动组织开展</w:t>
      </w:r>
      <w:r>
        <w:rPr>
          <w:rFonts w:hint="eastAsia"/>
          <w:b w:val="0"/>
          <w:bCs w:val="0"/>
          <w:color w:val="000000" w:themeColor="text1"/>
        </w:rPr>
        <w:t>全市</w:t>
      </w:r>
      <w:r>
        <w:rPr>
          <w:b w:val="0"/>
          <w:bCs w:val="0"/>
          <w:color w:val="000000" w:themeColor="text1"/>
        </w:rPr>
        <w:t>重点</w:t>
      </w:r>
      <w:r>
        <w:rPr>
          <w:rFonts w:hint="eastAsia"/>
          <w:b w:val="0"/>
          <w:bCs w:val="0"/>
          <w:color w:val="000000" w:themeColor="text1"/>
        </w:rPr>
        <w:t>领域</w:t>
      </w:r>
      <w:r>
        <w:rPr>
          <w:b w:val="0"/>
          <w:bCs w:val="0"/>
          <w:color w:val="000000" w:themeColor="text1"/>
        </w:rPr>
        <w:t>和数据中心能效水平情况</w:t>
      </w:r>
      <w:r>
        <w:rPr>
          <w:rFonts w:hint="eastAsia"/>
          <w:b w:val="0"/>
          <w:bCs w:val="0"/>
          <w:color w:val="000000" w:themeColor="text1"/>
        </w:rPr>
        <w:t>摸底调查</w:t>
      </w:r>
      <w:r>
        <w:rPr>
          <w:b w:val="0"/>
          <w:bCs w:val="0"/>
          <w:color w:val="000000" w:themeColor="text1"/>
        </w:rPr>
        <w:t>，</w:t>
      </w:r>
      <w:r>
        <w:rPr>
          <w:rFonts w:hint="eastAsia"/>
          <w:b w:val="0"/>
          <w:bCs w:val="0"/>
          <w:color w:val="000000" w:themeColor="text1"/>
        </w:rPr>
        <w:t>认真排查现有项目、在建项目，科学评估拟建项目，逐一登记造册。</w:t>
      </w:r>
      <w:r>
        <w:rPr>
          <w:b w:val="0"/>
          <w:bCs w:val="0"/>
          <w:color w:val="000000" w:themeColor="text1"/>
        </w:rPr>
        <w:t>委托</w:t>
      </w:r>
      <w:r>
        <w:rPr>
          <w:rFonts w:hint="eastAsia"/>
          <w:b w:val="0"/>
          <w:bCs w:val="0"/>
          <w:color w:val="000000" w:themeColor="text1"/>
        </w:rPr>
        <w:t>专业</w:t>
      </w:r>
      <w:r>
        <w:rPr>
          <w:b w:val="0"/>
          <w:bCs w:val="0"/>
          <w:color w:val="000000" w:themeColor="text1"/>
        </w:rPr>
        <w:t>机构并组织相关行业专家赴企业开展实地核查，逐一对照主要产品、主要用能设备等核实能效水平</w:t>
      </w:r>
      <w:r>
        <w:rPr>
          <w:rFonts w:hint="eastAsia"/>
          <w:b w:val="0"/>
          <w:bCs w:val="0"/>
          <w:color w:val="000000" w:themeColor="text1"/>
        </w:rPr>
        <w:t>，组织企业申辩，</w:t>
      </w:r>
      <w:r>
        <w:rPr>
          <w:b w:val="0"/>
          <w:bCs w:val="0"/>
          <w:color w:val="000000" w:themeColor="text1"/>
        </w:rPr>
        <w:t>并于2022年</w:t>
      </w:r>
      <w:r>
        <w:rPr>
          <w:rFonts w:hint="default"/>
          <w:b w:val="0"/>
          <w:bCs w:val="0"/>
          <w:color w:val="000000" w:themeColor="text1"/>
        </w:rPr>
        <w:t>2</w:t>
      </w:r>
      <w:r>
        <w:rPr>
          <w:b w:val="0"/>
          <w:bCs w:val="0"/>
          <w:color w:val="000000" w:themeColor="text1"/>
        </w:rPr>
        <w:t>月建立企业装置能效清单目录，能效达到标杆水平和低于基准水平的企业</w:t>
      </w:r>
      <w:r>
        <w:rPr>
          <w:rFonts w:hint="eastAsia"/>
          <w:b w:val="0"/>
          <w:bCs w:val="0"/>
          <w:color w:val="000000" w:themeColor="text1"/>
        </w:rPr>
        <w:t>（</w:t>
      </w:r>
      <w:r>
        <w:rPr>
          <w:b w:val="0"/>
          <w:bCs w:val="0"/>
          <w:color w:val="000000" w:themeColor="text1"/>
        </w:rPr>
        <w:t>装置</w:t>
      </w:r>
      <w:r>
        <w:rPr>
          <w:rFonts w:hint="eastAsia"/>
          <w:b w:val="0"/>
          <w:bCs w:val="0"/>
          <w:color w:val="000000" w:themeColor="text1"/>
        </w:rPr>
        <w:t>）</w:t>
      </w:r>
      <w:r>
        <w:rPr>
          <w:b w:val="0"/>
          <w:bCs w:val="0"/>
          <w:color w:val="000000" w:themeColor="text1"/>
        </w:rPr>
        <w:t>，分别列入能效先进和落后清单</w:t>
      </w:r>
      <w:r>
        <w:rPr>
          <w:rFonts w:hint="eastAsia"/>
          <w:b w:val="0"/>
          <w:bCs w:val="0"/>
          <w:color w:val="000000" w:themeColor="text1"/>
        </w:rPr>
        <w:t>，适时</w:t>
      </w:r>
      <w:r>
        <w:rPr>
          <w:b w:val="0"/>
          <w:bCs w:val="0"/>
          <w:color w:val="000000" w:themeColor="text1"/>
        </w:rPr>
        <w:t>向社会公开</w:t>
      </w:r>
      <w:r>
        <w:rPr>
          <w:rFonts w:hint="eastAsia"/>
          <w:b w:val="0"/>
          <w:bCs w:val="0"/>
          <w:color w:val="000000" w:themeColor="text1"/>
        </w:rPr>
        <w:t>、接受监督</w:t>
      </w:r>
      <w:r>
        <w:rPr>
          <w:b w:val="0"/>
          <w:bCs w:val="0"/>
          <w:color w:val="000000" w:themeColor="text1"/>
        </w:rPr>
        <w:t>。（</w:t>
      </w:r>
      <w:r>
        <w:rPr>
          <w:rFonts w:hint="eastAsia"/>
          <w:b w:val="0"/>
          <w:bCs w:val="0"/>
          <w:color w:val="000000" w:themeColor="text1"/>
        </w:rPr>
        <w:t>市</w:t>
      </w:r>
      <w:r>
        <w:rPr>
          <w:b w:val="0"/>
          <w:bCs w:val="0"/>
          <w:color w:val="000000" w:themeColor="text1"/>
        </w:rPr>
        <w:t>发展改革委、</w:t>
      </w:r>
      <w:r>
        <w:rPr>
          <w:rFonts w:hint="eastAsia"/>
          <w:b w:val="0"/>
          <w:bCs w:val="0"/>
          <w:color w:val="000000" w:themeColor="text1"/>
        </w:rPr>
        <w:t>市经济信息委、市能源局按职能分工负责，下同</w:t>
      </w:r>
      <w:r>
        <w:rPr>
          <w:b w:val="0"/>
          <w:bCs w:val="0"/>
          <w:color w:val="000000" w:themeColor="text1"/>
        </w:rPr>
        <w:t>）</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textAlignment w:val="auto"/>
        <w:rPr>
          <w:rFonts w:hint="eastAsia" w:ascii="方正楷体_GBK" w:hAnsi="方正楷体_GBK" w:eastAsia="方正楷体_GBK" w:cs="方正楷体_GBK"/>
          <w:b w:val="0"/>
          <w:bCs w:val="0"/>
          <w:color w:val="000000" w:themeColor="text1"/>
        </w:rPr>
      </w:pPr>
      <w:r>
        <w:rPr>
          <w:rFonts w:hint="eastAsia" w:ascii="方正楷体_GBK" w:hAnsi="方正楷体_GBK" w:eastAsia="方正楷体_GBK" w:cs="方正楷体_GBK"/>
          <w:b w:val="0"/>
          <w:bCs w:val="0"/>
          <w:color w:val="000000" w:themeColor="text1"/>
        </w:rPr>
        <w:t>（二）组织制定技术改造实施方案</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rPr>
          <w:b w:val="0"/>
          <w:bCs w:val="0"/>
          <w:color w:val="000000" w:themeColor="text1"/>
        </w:rPr>
      </w:pPr>
      <w:r>
        <w:rPr>
          <w:b w:val="0"/>
          <w:bCs w:val="0"/>
          <w:color w:val="000000" w:themeColor="text1"/>
        </w:rPr>
        <w:t>在确保经济平稳运行、社会民生稳定基础上，</w:t>
      </w:r>
      <w:r>
        <w:rPr>
          <w:rFonts w:hint="eastAsia"/>
          <w:b w:val="0"/>
          <w:bCs w:val="0"/>
          <w:color w:val="000000" w:themeColor="text1"/>
        </w:rPr>
        <w:t>按照</w:t>
      </w:r>
      <w:r>
        <w:rPr>
          <w:rFonts w:hint="eastAsia" w:ascii="方正仿宋_GBK" w:hAnsi="方正仿宋_GBK" w:cs="方正仿宋_GBK"/>
          <w:b w:val="0"/>
          <w:bCs w:val="0"/>
          <w:color w:val="000000" w:themeColor="text1"/>
        </w:rPr>
        <w:t>“</w:t>
      </w:r>
      <w:r>
        <w:rPr>
          <w:rFonts w:hint="eastAsia"/>
          <w:b w:val="0"/>
          <w:bCs w:val="0"/>
          <w:color w:val="000000" w:themeColor="text1"/>
        </w:rPr>
        <w:t>整体推进，一企一策</w:t>
      </w:r>
      <w:r>
        <w:rPr>
          <w:rFonts w:hint="eastAsia" w:ascii="方正仿宋_GBK" w:hAnsi="方正仿宋_GBK" w:cs="方正仿宋_GBK"/>
          <w:b w:val="0"/>
          <w:bCs w:val="0"/>
          <w:color w:val="000000" w:themeColor="text1"/>
        </w:rPr>
        <w:t>”</w:t>
      </w:r>
      <w:r>
        <w:rPr>
          <w:rFonts w:hint="eastAsia"/>
          <w:b w:val="0"/>
          <w:bCs w:val="0"/>
          <w:color w:val="000000" w:themeColor="text1"/>
        </w:rPr>
        <w:t>要求，</w:t>
      </w:r>
      <w:r>
        <w:rPr>
          <w:b w:val="0"/>
          <w:bCs w:val="0"/>
          <w:color w:val="000000" w:themeColor="text1"/>
        </w:rPr>
        <w:t>2022年3月前，根据国家发展改革委等部委印发的《高耗能行业重点领域节能降碳改造升级实施指南（2022年版）》</w:t>
      </w:r>
      <w:r>
        <w:rPr>
          <w:rFonts w:hint="eastAsia"/>
          <w:b w:val="0"/>
          <w:bCs w:val="0"/>
          <w:color w:val="000000" w:themeColor="text1"/>
        </w:rPr>
        <w:t>（发改产业〔</w:t>
      </w:r>
      <w:r>
        <w:rPr>
          <w:rFonts w:hint="default"/>
          <w:b w:val="0"/>
          <w:bCs w:val="0"/>
          <w:color w:val="000000" w:themeColor="text1"/>
        </w:rPr>
        <w:t>2022</w:t>
      </w:r>
      <w:r>
        <w:rPr>
          <w:rFonts w:hint="eastAsia"/>
          <w:b w:val="0"/>
          <w:bCs w:val="0"/>
          <w:color w:val="000000" w:themeColor="text1"/>
        </w:rPr>
        <w:t>〕</w:t>
      </w:r>
      <w:r>
        <w:rPr>
          <w:rFonts w:hint="default"/>
          <w:b w:val="0"/>
          <w:bCs w:val="0"/>
          <w:color w:val="000000" w:themeColor="text1"/>
        </w:rPr>
        <w:t>200</w:t>
      </w:r>
      <w:r>
        <w:rPr>
          <w:rFonts w:hint="eastAsia"/>
          <w:b w:val="0"/>
          <w:bCs w:val="0"/>
          <w:color w:val="000000" w:themeColor="text1"/>
        </w:rPr>
        <w:t>号）</w:t>
      </w:r>
      <w:r>
        <w:rPr>
          <w:b w:val="0"/>
          <w:bCs w:val="0"/>
          <w:color w:val="000000" w:themeColor="text1"/>
        </w:rPr>
        <w:t>，制定重庆市冶金、建材、石化化工</w:t>
      </w:r>
      <w:r>
        <w:rPr>
          <w:rFonts w:hint="eastAsia"/>
          <w:b w:val="0"/>
          <w:bCs w:val="0"/>
          <w:color w:val="000000" w:themeColor="text1"/>
        </w:rPr>
        <w:t>等</w:t>
      </w:r>
      <w:r>
        <w:rPr>
          <w:b w:val="0"/>
          <w:bCs w:val="0"/>
          <w:color w:val="000000" w:themeColor="text1"/>
        </w:rPr>
        <w:t>重点领域节能降碳企业技术改造总体实施方案。同时，由各区县主管部门指导督促辖区能效水平相对落后企业根据总体实施方案制定具体的企业（装置）节能降碳技术改造实施方案，</w:t>
      </w:r>
      <w:r>
        <w:rPr>
          <w:rFonts w:hint="eastAsia"/>
          <w:b w:val="0"/>
          <w:bCs w:val="0"/>
          <w:color w:val="000000" w:themeColor="text1"/>
        </w:rPr>
        <w:t>科学合理制定不同企业节能改造时间表，</w:t>
      </w:r>
      <w:r>
        <w:rPr>
          <w:b w:val="0"/>
          <w:bCs w:val="0"/>
          <w:color w:val="000000" w:themeColor="text1"/>
        </w:rPr>
        <w:t>明确推进步骤、改造期限、技术路线、工作节点、预期目标等。（市发展改革委、市经济信息委、市能源局）</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textAlignment w:val="auto"/>
        <w:rPr>
          <w:rFonts w:hint="eastAsia" w:ascii="方正楷体_GBK" w:hAnsi="方正楷体_GBK" w:eastAsia="方正楷体_GBK" w:cs="方正楷体_GBK"/>
          <w:b w:val="0"/>
          <w:bCs w:val="0"/>
          <w:color w:val="000000" w:themeColor="text1"/>
        </w:rPr>
      </w:pPr>
      <w:r>
        <w:rPr>
          <w:rFonts w:hint="eastAsia" w:ascii="方正楷体_GBK" w:hAnsi="方正楷体_GBK" w:eastAsia="方正楷体_GBK" w:cs="方正楷体_GBK"/>
          <w:b w:val="0"/>
          <w:bCs w:val="0"/>
          <w:color w:val="000000" w:themeColor="text1"/>
        </w:rPr>
        <w:t>（三）稳妥组织企业实施技术改造</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rPr>
          <w:b w:val="0"/>
          <w:bCs w:val="0"/>
          <w:color w:val="000000" w:themeColor="text1"/>
        </w:rPr>
      </w:pPr>
      <w:r>
        <w:rPr>
          <w:rFonts w:hint="eastAsia"/>
          <w:b w:val="0"/>
          <w:bCs w:val="0"/>
          <w:color w:val="000000" w:themeColor="text1"/>
        </w:rPr>
        <w:t>各区县主管部门根据行业总体实施方案和企业</w:t>
      </w:r>
      <w:r>
        <w:rPr>
          <w:b w:val="0"/>
          <w:bCs w:val="0"/>
          <w:color w:val="000000" w:themeColor="text1"/>
        </w:rPr>
        <w:t>节能降碳技术改造实施方案</w:t>
      </w:r>
      <w:r>
        <w:rPr>
          <w:rFonts w:hint="eastAsia"/>
          <w:b w:val="0"/>
          <w:bCs w:val="0"/>
          <w:color w:val="000000" w:themeColor="text1"/>
        </w:rPr>
        <w:t>，指导企业落实好改造所需资金，加快技术改造进程，积极协助企业解决改造过程中存在的问题</w:t>
      </w:r>
      <w:r>
        <w:rPr>
          <w:b w:val="0"/>
          <w:bCs w:val="0"/>
          <w:color w:val="000000" w:themeColor="text1"/>
        </w:rPr>
        <w:t>，确保项目的技术及经济可行性。</w:t>
      </w:r>
      <w:r>
        <w:rPr>
          <w:rFonts w:hint="eastAsia"/>
          <w:b w:val="0"/>
          <w:bCs w:val="0"/>
          <w:color w:val="000000" w:themeColor="text1"/>
        </w:rPr>
        <w:t>依据能效标杆水平和基准水平，限期分批实施改造升级和淘汰</w:t>
      </w:r>
      <w:r>
        <w:rPr>
          <w:b w:val="0"/>
          <w:bCs w:val="0"/>
          <w:color w:val="000000" w:themeColor="text1"/>
        </w:rPr>
        <w:t>。</w:t>
      </w:r>
      <w:r>
        <w:rPr>
          <w:rFonts w:hint="eastAsia"/>
          <w:b w:val="0"/>
          <w:bCs w:val="0"/>
          <w:color w:val="000000" w:themeColor="text1"/>
        </w:rPr>
        <w:t>对于能效</w:t>
      </w:r>
      <w:r>
        <w:rPr>
          <w:b w:val="0"/>
          <w:bCs w:val="0"/>
          <w:color w:val="000000" w:themeColor="text1"/>
        </w:rPr>
        <w:t>介于标杆水平和基准水平之间的企业，</w:t>
      </w:r>
      <w:r>
        <w:rPr>
          <w:rFonts w:hint="eastAsia"/>
          <w:b w:val="0"/>
          <w:bCs w:val="0"/>
          <w:color w:val="000000" w:themeColor="text1"/>
        </w:rPr>
        <w:t>鼓励企业结合检修等时机参照标杆水平要求实施改造升级。对需要开展技术改造的项目，各区县要</w:t>
      </w:r>
      <w:r>
        <w:rPr>
          <w:b w:val="0"/>
          <w:bCs w:val="0"/>
          <w:color w:val="000000" w:themeColor="text1"/>
        </w:rPr>
        <w:t>明确改造升级和淘汰时限（一般不超过3年）以及年度改造淘汰计划，</w:t>
      </w:r>
      <w:r>
        <w:rPr>
          <w:rFonts w:hint="eastAsia"/>
          <w:b w:val="0"/>
          <w:bCs w:val="0"/>
          <w:color w:val="000000" w:themeColor="text1"/>
        </w:rPr>
        <w:t>推动企业能效</w:t>
      </w:r>
      <w:r>
        <w:rPr>
          <w:b w:val="0"/>
          <w:bCs w:val="0"/>
          <w:color w:val="000000" w:themeColor="text1"/>
        </w:rPr>
        <w:t>在规定时限内改造升级到基准水平以上，力争达到能效标杆水平；对于不能按期改造完毕的项目</w:t>
      </w:r>
      <w:r>
        <w:rPr>
          <w:rFonts w:hint="eastAsia"/>
          <w:b w:val="0"/>
          <w:bCs w:val="0"/>
          <w:color w:val="000000" w:themeColor="text1"/>
        </w:rPr>
        <w:t>推动淘汰退出</w:t>
      </w:r>
      <w:r>
        <w:rPr>
          <w:b w:val="0"/>
          <w:bCs w:val="0"/>
          <w:color w:val="000000" w:themeColor="text1"/>
        </w:rPr>
        <w:t>。</w:t>
      </w:r>
      <w:r>
        <w:rPr>
          <w:rFonts w:hint="eastAsia"/>
          <w:b w:val="0"/>
          <w:bCs w:val="0"/>
          <w:color w:val="000000" w:themeColor="text1"/>
        </w:rPr>
        <w:t>开展在建项目评估检查，能效水平低于本行业能耗限额准入值的在建项目</w:t>
      </w:r>
      <w:r>
        <w:rPr>
          <w:rFonts w:hint="eastAsia"/>
          <w:b w:val="0"/>
          <w:bCs w:val="0"/>
          <w:color w:val="000000" w:themeColor="text1"/>
          <w:lang w:eastAsia="zh-CN"/>
        </w:rPr>
        <w:t>（</w:t>
      </w:r>
      <w:r>
        <w:rPr>
          <w:rFonts w:hint="eastAsia"/>
          <w:b w:val="0"/>
          <w:bCs w:val="0"/>
          <w:color w:val="000000" w:themeColor="text1"/>
        </w:rPr>
        <w:t>装置</w:t>
      </w:r>
      <w:r>
        <w:rPr>
          <w:rFonts w:hint="eastAsia"/>
          <w:b w:val="0"/>
          <w:bCs w:val="0"/>
          <w:color w:val="000000" w:themeColor="text1"/>
          <w:lang w:eastAsia="zh-CN"/>
        </w:rPr>
        <w:t>）</w:t>
      </w:r>
      <w:r>
        <w:rPr>
          <w:rFonts w:hint="eastAsia"/>
          <w:b w:val="0"/>
          <w:bCs w:val="0"/>
          <w:color w:val="000000" w:themeColor="text1"/>
        </w:rPr>
        <w:t>，按照有关规定停工整改，推动提升能效水平，力争达到标杆水平。</w:t>
      </w:r>
      <w:r>
        <w:rPr>
          <w:b w:val="0"/>
          <w:bCs w:val="0"/>
          <w:color w:val="000000" w:themeColor="text1"/>
        </w:rPr>
        <w:t>坚决遏制高耗能项目不合理用能，对于能效低于本行业基准水平且未能按期改造升级的项目，限制用能。鼓励国有企业、骨干企业发挥引领作用，开展节能降碳示范性改造</w:t>
      </w:r>
      <w:r>
        <w:rPr>
          <w:rFonts w:hint="eastAsia"/>
          <w:b w:val="0"/>
          <w:bCs w:val="0"/>
          <w:color w:val="000000" w:themeColor="text1"/>
        </w:rPr>
        <w:t>。改造过程中，在落实产能置换等要求前提下，鼓励企业开展兼并重组。</w:t>
      </w:r>
      <w:r>
        <w:rPr>
          <w:b w:val="0"/>
          <w:bCs w:val="0"/>
          <w:color w:val="000000" w:themeColor="text1"/>
        </w:rPr>
        <w:t>（</w:t>
      </w:r>
      <w:r>
        <w:rPr>
          <w:rFonts w:hint="eastAsia"/>
          <w:b w:val="0"/>
          <w:bCs w:val="0"/>
          <w:color w:val="000000" w:themeColor="text1"/>
        </w:rPr>
        <w:t>市</w:t>
      </w:r>
      <w:r>
        <w:rPr>
          <w:b w:val="0"/>
          <w:bCs w:val="0"/>
          <w:color w:val="000000" w:themeColor="text1"/>
        </w:rPr>
        <w:t>发展改革委、</w:t>
      </w:r>
      <w:r>
        <w:rPr>
          <w:rFonts w:hint="eastAsia"/>
          <w:b w:val="0"/>
          <w:bCs w:val="0"/>
          <w:color w:val="000000" w:themeColor="text1"/>
        </w:rPr>
        <w:t>市经济信息委、市能源局</w:t>
      </w:r>
      <w:r>
        <w:rPr>
          <w:b w:val="0"/>
          <w:bCs w:val="0"/>
          <w:color w:val="000000" w:themeColor="text1"/>
        </w:rPr>
        <w:t>）</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textAlignment w:val="auto"/>
        <w:rPr>
          <w:rFonts w:hint="eastAsia" w:ascii="方正楷体_GBK" w:hAnsi="方正楷体_GBK" w:eastAsia="方正楷体_GBK" w:cs="方正楷体_GBK"/>
          <w:b w:val="0"/>
          <w:bCs w:val="0"/>
          <w:color w:val="000000" w:themeColor="text1"/>
        </w:rPr>
      </w:pPr>
      <w:r>
        <w:rPr>
          <w:rFonts w:hint="eastAsia" w:ascii="方正楷体_GBK" w:hAnsi="方正楷体_GBK" w:eastAsia="方正楷体_GBK" w:cs="方正楷体_GBK"/>
          <w:b w:val="0"/>
          <w:bCs w:val="0"/>
          <w:color w:val="000000" w:themeColor="text1"/>
        </w:rPr>
        <w:t>（四）引导低效产能有序退出</w:t>
      </w:r>
    </w:p>
    <w:p>
      <w:pPr>
        <w:adjustRightInd/>
        <w:spacing w:after="0" w:afterLines="0" w:line="240" w:lineRule="auto"/>
        <w:ind w:firstLine="632" w:firstLineChars="200"/>
        <w:textAlignment w:val="auto"/>
        <w:rPr>
          <w:b w:val="0"/>
          <w:bCs w:val="0"/>
          <w:color w:val="000000" w:themeColor="text1"/>
        </w:rPr>
      </w:pPr>
      <w:r>
        <w:rPr>
          <w:rFonts w:hint="eastAsia"/>
          <w:b w:val="0"/>
          <w:bCs w:val="0"/>
          <w:color w:val="000000" w:themeColor="text1"/>
        </w:rPr>
        <w:t>综合发挥能耗、排放等约束性指标作用，严格执行有关标准、政策，加强监督检查，引导低效产能有序退出，加大淘汰落后产能工作力度，</w:t>
      </w:r>
      <w:r>
        <w:rPr>
          <w:b w:val="0"/>
          <w:bCs w:val="0"/>
          <w:color w:val="000000" w:themeColor="text1"/>
        </w:rPr>
        <w:t>严格执行《产业结构调整指导目录》等规定，坚决淘汰落后生产工艺、技术、设备。（</w:t>
      </w:r>
      <w:r>
        <w:rPr>
          <w:rFonts w:hint="eastAsia"/>
          <w:b w:val="0"/>
          <w:bCs w:val="0"/>
          <w:color w:val="000000" w:themeColor="text1"/>
        </w:rPr>
        <w:t>市</w:t>
      </w:r>
      <w:r>
        <w:rPr>
          <w:b w:val="0"/>
          <w:bCs w:val="0"/>
          <w:color w:val="000000" w:themeColor="text1"/>
        </w:rPr>
        <w:t>发展改革委、</w:t>
      </w:r>
      <w:r>
        <w:rPr>
          <w:rFonts w:hint="eastAsia"/>
          <w:b w:val="0"/>
          <w:bCs w:val="0"/>
          <w:color w:val="000000" w:themeColor="text1"/>
        </w:rPr>
        <w:t>市经济信息委、市生态环境局、市能源局</w:t>
      </w:r>
      <w:r>
        <w:rPr>
          <w:b w:val="0"/>
          <w:bCs w:val="0"/>
          <w:color w:val="000000" w:themeColor="text1"/>
        </w:rPr>
        <w:t>）</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textAlignment w:val="auto"/>
        <w:rPr>
          <w:rFonts w:hint="eastAsia" w:ascii="方正楷体_GBK" w:hAnsi="方正楷体_GBK" w:eastAsia="方正楷体_GBK" w:cs="方正楷体_GBK"/>
          <w:b w:val="0"/>
          <w:bCs w:val="0"/>
          <w:color w:val="000000" w:themeColor="text1"/>
        </w:rPr>
      </w:pPr>
      <w:r>
        <w:rPr>
          <w:rFonts w:hint="eastAsia" w:ascii="方正楷体_GBK" w:hAnsi="方正楷体_GBK" w:eastAsia="方正楷体_GBK" w:cs="方正楷体_GBK"/>
          <w:b w:val="0"/>
          <w:bCs w:val="0"/>
          <w:color w:val="000000" w:themeColor="text1"/>
        </w:rPr>
        <w:t>（五）严格项目准入要求</w:t>
      </w:r>
    </w:p>
    <w:p>
      <w:pPr>
        <w:adjustRightInd/>
        <w:spacing w:after="0" w:afterLines="0" w:line="240" w:lineRule="auto"/>
        <w:ind w:firstLine="632" w:firstLineChars="200"/>
        <w:textAlignment w:val="auto"/>
        <w:rPr>
          <w:b w:val="0"/>
          <w:bCs w:val="0"/>
          <w:color w:val="000000" w:themeColor="text1"/>
        </w:rPr>
      </w:pPr>
      <w:r>
        <w:rPr>
          <w:rFonts w:hint="eastAsia"/>
          <w:b w:val="0"/>
          <w:bCs w:val="0"/>
          <w:color w:val="000000" w:themeColor="text1"/>
        </w:rPr>
        <w:t>科学评估拟建项目，对产能已经饱和的行业按照</w:t>
      </w:r>
      <w:r>
        <w:rPr>
          <w:rFonts w:hint="eastAsia" w:ascii="方正仿宋_GBK" w:hAnsi="方正仿宋_GBK" w:cs="方正仿宋_GBK"/>
          <w:b w:val="0"/>
          <w:bCs w:val="0"/>
          <w:color w:val="000000" w:themeColor="text1"/>
        </w:rPr>
        <w:t>“</w:t>
      </w:r>
      <w:r>
        <w:rPr>
          <w:rFonts w:hint="eastAsia"/>
          <w:b w:val="0"/>
          <w:bCs w:val="0"/>
          <w:color w:val="000000" w:themeColor="text1"/>
        </w:rPr>
        <w:t>减量置换</w:t>
      </w:r>
      <w:r>
        <w:rPr>
          <w:rFonts w:hint="eastAsia" w:ascii="方正仿宋_GBK" w:hAnsi="方正仿宋_GBK" w:cs="方正仿宋_GBK"/>
          <w:b w:val="0"/>
          <w:bCs w:val="0"/>
          <w:color w:val="000000" w:themeColor="text1"/>
        </w:rPr>
        <w:t>”</w:t>
      </w:r>
      <w:r>
        <w:rPr>
          <w:rFonts w:hint="eastAsia"/>
          <w:b w:val="0"/>
          <w:bCs w:val="0"/>
          <w:color w:val="000000" w:themeColor="text1"/>
        </w:rPr>
        <w:t>原则压减产能，对产能尚未饱和的行业，要对标国际先进水平提高准入门槛，支持引导能耗较大的新兴产业应用绿色技术、提高能效水平。</w:t>
      </w:r>
      <w:r>
        <w:rPr>
          <w:b w:val="0"/>
          <w:bCs w:val="0"/>
          <w:color w:val="000000" w:themeColor="text1"/>
        </w:rPr>
        <w:t>严禁新建1000万吨/年以下常减压、150万吨/年以下催化裂化、100万吨/年以下连续重整（含芳烃抽提）、150万吨/年以下加氢裂化，80万吨/年以下石脑油裂解制乙烯，固定层间歇气化技术制合成氨装置。新建电石、尿素（合成氨下游产业链之一）项目实施产能等量或减量置换</w:t>
      </w:r>
      <w:r>
        <w:rPr>
          <w:rFonts w:hint="eastAsia"/>
          <w:b w:val="0"/>
          <w:bCs w:val="0"/>
          <w:color w:val="000000" w:themeColor="text1"/>
        </w:rPr>
        <w:t>。对不符合要求的</w:t>
      </w:r>
      <w:r>
        <w:rPr>
          <w:rFonts w:hint="eastAsia" w:ascii="方正仿宋_GBK" w:hAnsi="方正仿宋_GBK" w:cs="方正仿宋_GBK"/>
          <w:b w:val="0"/>
          <w:bCs w:val="0"/>
          <w:color w:val="000000" w:themeColor="text1"/>
        </w:rPr>
        <w:t>“</w:t>
      </w:r>
      <w:r>
        <w:rPr>
          <w:rFonts w:hint="eastAsia"/>
          <w:b w:val="0"/>
          <w:bCs w:val="0"/>
          <w:color w:val="000000" w:themeColor="text1"/>
        </w:rPr>
        <w:t>两高</w:t>
      </w:r>
      <w:r>
        <w:rPr>
          <w:rFonts w:hint="eastAsia" w:ascii="方正仿宋_GBK" w:hAnsi="方正仿宋_GBK" w:cs="方正仿宋_GBK"/>
          <w:b w:val="0"/>
          <w:bCs w:val="0"/>
          <w:color w:val="000000" w:themeColor="text1"/>
        </w:rPr>
        <w:t>”</w:t>
      </w:r>
      <w:r>
        <w:rPr>
          <w:rFonts w:hint="eastAsia"/>
          <w:b w:val="0"/>
          <w:bCs w:val="0"/>
          <w:color w:val="000000" w:themeColor="text1"/>
        </w:rPr>
        <w:t>项目坚决进行处置，对不符合产业政策、产能置换、节能审查、环评审批等要求，未履行相关审批手续，违规审批、未批先建、批建不符等违法违规行为，坚决依法查处。（市</w:t>
      </w:r>
      <w:r>
        <w:rPr>
          <w:b w:val="0"/>
          <w:bCs w:val="0"/>
          <w:color w:val="000000" w:themeColor="text1"/>
        </w:rPr>
        <w:t>发展改革委、</w:t>
      </w:r>
      <w:r>
        <w:rPr>
          <w:rFonts w:hint="eastAsia"/>
          <w:b w:val="0"/>
          <w:bCs w:val="0"/>
          <w:color w:val="000000" w:themeColor="text1"/>
        </w:rPr>
        <w:t>市经济信息委、市生态环境局、市场监管局、市能源局</w:t>
      </w:r>
      <w:r>
        <w:rPr>
          <w:b w:val="0"/>
          <w:bCs w:val="0"/>
          <w:color w:val="000000" w:themeColor="text1"/>
        </w:rPr>
        <w:t>）</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textAlignment w:val="auto"/>
        <w:rPr>
          <w:rFonts w:hint="eastAsia" w:ascii="方正楷体_GBK" w:hAnsi="方正楷体_GBK" w:eastAsia="方正楷体_GBK" w:cs="方正楷体_GBK"/>
          <w:b w:val="0"/>
          <w:bCs w:val="0"/>
          <w:color w:val="000000" w:themeColor="text1"/>
        </w:rPr>
      </w:pPr>
      <w:r>
        <w:rPr>
          <w:rFonts w:hint="eastAsia" w:ascii="方正楷体_GBK" w:hAnsi="方正楷体_GBK" w:eastAsia="方正楷体_GBK" w:cs="方正楷体_GBK"/>
          <w:b w:val="0"/>
          <w:bCs w:val="0"/>
          <w:color w:val="000000" w:themeColor="text1"/>
        </w:rPr>
        <w:t>（六）加强绿色低碳技术创新攻关和推广应用</w:t>
      </w:r>
    </w:p>
    <w:p>
      <w:pPr>
        <w:adjustRightInd/>
        <w:spacing w:after="0" w:afterLines="0" w:line="240" w:lineRule="auto"/>
        <w:ind w:firstLine="632" w:firstLineChars="200"/>
        <w:textAlignment w:val="auto"/>
        <w:rPr>
          <w:b w:val="0"/>
          <w:bCs w:val="0"/>
          <w:color w:val="000000" w:themeColor="text1"/>
        </w:rPr>
      </w:pPr>
      <w:r>
        <w:rPr>
          <w:b w:val="0"/>
          <w:bCs w:val="0"/>
          <w:color w:val="000000" w:themeColor="text1"/>
        </w:rPr>
        <w:t>加强关键节能低碳技术创新攻关。</w:t>
      </w:r>
      <w:r>
        <w:rPr>
          <w:rFonts w:hint="eastAsia"/>
          <w:b w:val="0"/>
          <w:bCs w:val="0"/>
          <w:color w:val="000000" w:themeColor="text1"/>
        </w:rPr>
        <w:t>充分利用科研院所、行业协会和骨干企业的创新资源，</w:t>
      </w:r>
      <w:r>
        <w:rPr>
          <w:b w:val="0"/>
          <w:bCs w:val="0"/>
          <w:color w:val="000000" w:themeColor="text1"/>
        </w:rPr>
        <w:t>深入研究</w:t>
      </w:r>
      <w:r>
        <w:rPr>
          <w:rFonts w:hint="eastAsia"/>
          <w:b w:val="0"/>
          <w:bCs w:val="0"/>
          <w:color w:val="000000" w:themeColor="text1"/>
        </w:rPr>
        <w:t>重点领域重点</w:t>
      </w:r>
      <w:r>
        <w:rPr>
          <w:b w:val="0"/>
          <w:bCs w:val="0"/>
          <w:color w:val="000000" w:themeColor="text1"/>
        </w:rPr>
        <w:t>行业节能低碳技术发展路线，</w:t>
      </w:r>
      <w:r>
        <w:rPr>
          <w:rFonts w:hint="eastAsia"/>
          <w:b w:val="0"/>
          <w:bCs w:val="0"/>
          <w:color w:val="000000" w:themeColor="text1"/>
        </w:rPr>
        <w:t>引导企业</w:t>
      </w:r>
      <w:r>
        <w:rPr>
          <w:b w:val="0"/>
          <w:bCs w:val="0"/>
          <w:color w:val="000000" w:themeColor="text1"/>
        </w:rPr>
        <w:t>开发绿色设计产品，</w:t>
      </w:r>
      <w:r>
        <w:rPr>
          <w:rFonts w:hint="eastAsia"/>
          <w:b w:val="0"/>
          <w:bCs w:val="0"/>
          <w:color w:val="000000" w:themeColor="text1"/>
        </w:rPr>
        <w:t>实施清洁生产改造，</w:t>
      </w:r>
      <w:r>
        <w:rPr>
          <w:b w:val="0"/>
          <w:bCs w:val="0"/>
          <w:color w:val="000000" w:themeColor="text1"/>
        </w:rPr>
        <w:t>建设绿色工厂。推动</w:t>
      </w:r>
      <w:r>
        <w:rPr>
          <w:rFonts w:hint="eastAsia"/>
          <w:b w:val="0"/>
          <w:bCs w:val="0"/>
          <w:color w:val="000000" w:themeColor="text1"/>
        </w:rPr>
        <w:t>重点领域</w:t>
      </w:r>
      <w:r>
        <w:rPr>
          <w:b w:val="0"/>
          <w:bCs w:val="0"/>
          <w:color w:val="000000" w:themeColor="text1"/>
        </w:rPr>
        <w:t>节能降碳关键核心技术攻关，建立</w:t>
      </w:r>
      <w:r>
        <w:rPr>
          <w:rFonts w:hint="eastAsia"/>
          <w:b w:val="0"/>
          <w:bCs w:val="0"/>
          <w:color w:val="000000" w:themeColor="text1"/>
        </w:rPr>
        <w:t>完善</w:t>
      </w:r>
      <w:r>
        <w:rPr>
          <w:b w:val="0"/>
          <w:bCs w:val="0"/>
          <w:color w:val="000000" w:themeColor="text1"/>
        </w:rPr>
        <w:t>重庆市绿色低碳技术推广目录</w:t>
      </w:r>
      <w:r>
        <w:rPr>
          <w:rFonts w:hint="eastAsia"/>
          <w:b w:val="0"/>
          <w:bCs w:val="0"/>
          <w:color w:val="000000" w:themeColor="text1"/>
        </w:rPr>
        <w:t>。突破一批高效储能、能源电子、氢能、碳捕集利用封存、温和条件二氧化碳资源化利用等关键核心技术。</w:t>
      </w:r>
      <w:r>
        <w:rPr>
          <w:b w:val="0"/>
          <w:bCs w:val="0"/>
          <w:color w:val="000000" w:themeColor="text1"/>
        </w:rPr>
        <w:t>加快绿色低碳技术装备推广应用。</w:t>
      </w:r>
      <w:r>
        <w:rPr>
          <w:rFonts w:hint="eastAsia"/>
          <w:b w:val="0"/>
          <w:bCs w:val="0"/>
          <w:color w:val="000000" w:themeColor="text1"/>
        </w:rPr>
        <w:t>以新一代清洁高效、绿色低碳、可循环利用工艺装备为重点，推进节能改造和污染物深度治理。在重点领域重点行业推广高效精馏系统、高温高压干熄焦、富氧强化熔炼等节能技术</w:t>
      </w:r>
      <w:r>
        <w:rPr>
          <w:b w:val="0"/>
          <w:bCs w:val="0"/>
          <w:color w:val="000000" w:themeColor="text1"/>
        </w:rPr>
        <w:t>。</w:t>
      </w:r>
      <w:r>
        <w:rPr>
          <w:rFonts w:hint="eastAsia"/>
          <w:b w:val="0"/>
          <w:bCs w:val="0"/>
          <w:color w:val="000000" w:themeColor="text1"/>
        </w:rPr>
        <w:t>深入推动</w:t>
      </w:r>
      <w:r>
        <w:rPr>
          <w:b w:val="0"/>
          <w:bCs w:val="0"/>
          <w:color w:val="000000" w:themeColor="text1"/>
        </w:rPr>
        <w:t>节能照明设备</w:t>
      </w:r>
      <w:r>
        <w:rPr>
          <w:rFonts w:hint="eastAsia"/>
          <w:b w:val="0"/>
          <w:bCs w:val="0"/>
          <w:color w:val="000000" w:themeColor="text1"/>
        </w:rPr>
        <w:t>、</w:t>
      </w:r>
      <w:r>
        <w:rPr>
          <w:b w:val="0"/>
          <w:bCs w:val="0"/>
          <w:color w:val="000000" w:themeColor="text1"/>
        </w:rPr>
        <w:t>节能终端显示设备</w:t>
      </w:r>
      <w:r>
        <w:rPr>
          <w:rFonts w:hint="eastAsia"/>
          <w:b w:val="0"/>
          <w:bCs w:val="0"/>
          <w:color w:val="000000" w:themeColor="text1"/>
        </w:rPr>
        <w:t>、</w:t>
      </w:r>
      <w:r>
        <w:rPr>
          <w:b w:val="0"/>
          <w:bCs w:val="0"/>
          <w:color w:val="000000" w:themeColor="text1"/>
        </w:rPr>
        <w:t>高效节能电线电缆</w:t>
      </w:r>
      <w:r>
        <w:rPr>
          <w:rFonts w:hint="eastAsia"/>
          <w:b w:val="0"/>
          <w:bCs w:val="0"/>
          <w:color w:val="000000" w:themeColor="text1"/>
        </w:rPr>
        <w:t>、</w:t>
      </w:r>
      <w:r>
        <w:rPr>
          <w:b w:val="0"/>
          <w:bCs w:val="0"/>
          <w:color w:val="000000" w:themeColor="text1"/>
        </w:rPr>
        <w:t>余热余压利用设备</w:t>
      </w:r>
      <w:r>
        <w:rPr>
          <w:rFonts w:hint="eastAsia"/>
          <w:b w:val="0"/>
          <w:bCs w:val="0"/>
          <w:color w:val="000000" w:themeColor="text1"/>
        </w:rPr>
        <w:t>、</w:t>
      </w:r>
      <w:r>
        <w:rPr>
          <w:b w:val="0"/>
          <w:bCs w:val="0"/>
          <w:color w:val="000000" w:themeColor="text1"/>
        </w:rPr>
        <w:t>建筑节能玻璃</w:t>
      </w:r>
      <w:r>
        <w:rPr>
          <w:rFonts w:hint="eastAsia"/>
          <w:b w:val="0"/>
          <w:bCs w:val="0"/>
          <w:color w:val="000000" w:themeColor="text1"/>
        </w:rPr>
        <w:t>、</w:t>
      </w:r>
      <w:r>
        <w:rPr>
          <w:b w:val="0"/>
          <w:bCs w:val="0"/>
          <w:color w:val="000000" w:themeColor="text1"/>
        </w:rPr>
        <w:t>绿色低碳外墙保温材料</w:t>
      </w:r>
      <w:r>
        <w:rPr>
          <w:rFonts w:hint="eastAsia"/>
          <w:b w:val="0"/>
          <w:bCs w:val="0"/>
          <w:color w:val="000000" w:themeColor="text1"/>
        </w:rPr>
        <w:t>等</w:t>
      </w:r>
      <w:r>
        <w:rPr>
          <w:b w:val="0"/>
          <w:bCs w:val="0"/>
          <w:color w:val="000000" w:themeColor="text1"/>
        </w:rPr>
        <w:t>绿色低碳技术装备</w:t>
      </w:r>
      <w:r>
        <w:rPr>
          <w:rFonts w:hint="eastAsia"/>
          <w:b w:val="0"/>
          <w:bCs w:val="0"/>
          <w:color w:val="000000" w:themeColor="text1"/>
        </w:rPr>
        <w:t>的应用。（市科技局、市经济信息委、市</w:t>
      </w:r>
      <w:r>
        <w:rPr>
          <w:b w:val="0"/>
          <w:bCs w:val="0"/>
          <w:color w:val="000000" w:themeColor="text1"/>
        </w:rPr>
        <w:t>发展改革委、</w:t>
      </w:r>
      <w:r>
        <w:rPr>
          <w:rFonts w:hint="eastAsia"/>
          <w:b w:val="0"/>
          <w:bCs w:val="0"/>
          <w:color w:val="000000" w:themeColor="text1"/>
        </w:rPr>
        <w:t>市生态环境局、市能源局</w:t>
      </w:r>
      <w:r>
        <w:rPr>
          <w:b w:val="0"/>
          <w:bCs w:val="0"/>
          <w:color w:val="000000" w:themeColor="text1"/>
        </w:rPr>
        <w:t>）</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textAlignment w:val="auto"/>
        <w:rPr>
          <w:rFonts w:hint="eastAsia" w:ascii="方正楷体_GBK" w:hAnsi="方正楷体_GBK" w:eastAsia="方正楷体_GBK" w:cs="方正楷体_GBK"/>
          <w:b w:val="0"/>
          <w:bCs w:val="0"/>
          <w:color w:val="000000" w:themeColor="text1"/>
        </w:rPr>
      </w:pPr>
      <w:r>
        <w:rPr>
          <w:rFonts w:hint="eastAsia" w:ascii="方正楷体_GBK" w:hAnsi="方正楷体_GBK" w:eastAsia="方正楷体_GBK" w:cs="方正楷体_GBK"/>
          <w:b w:val="0"/>
          <w:bCs w:val="0"/>
          <w:color w:val="000000" w:themeColor="text1"/>
        </w:rPr>
        <w:t>（七）推进产业结构优化调整</w:t>
      </w:r>
    </w:p>
    <w:p>
      <w:pPr>
        <w:adjustRightInd/>
        <w:spacing w:after="0" w:afterLines="0" w:line="240" w:lineRule="auto"/>
        <w:ind w:firstLine="632" w:firstLineChars="200"/>
        <w:textAlignment w:val="auto"/>
        <w:rPr>
          <w:b w:val="0"/>
          <w:bCs w:val="0"/>
          <w:color w:val="000000" w:themeColor="text1"/>
        </w:rPr>
      </w:pPr>
      <w:r>
        <w:rPr>
          <w:b w:val="0"/>
          <w:bCs w:val="0"/>
          <w:color w:val="000000" w:themeColor="text1"/>
        </w:rPr>
        <w:t>推动产业集中集约集聚发展，加快推进行业兼并重组，引导符合环境准入要求的行业企业向产业园区转移，鼓励不同行业和产业链上下游融合发展</w:t>
      </w:r>
      <w:r>
        <w:rPr>
          <w:rFonts w:hint="eastAsia"/>
          <w:b w:val="0"/>
          <w:bCs w:val="0"/>
          <w:color w:val="000000" w:themeColor="text1"/>
        </w:rPr>
        <w:t>，</w:t>
      </w:r>
      <w:r>
        <w:rPr>
          <w:b w:val="0"/>
          <w:bCs w:val="0"/>
          <w:color w:val="000000" w:themeColor="text1"/>
        </w:rPr>
        <w:t>做好产业布局、结构调整、节能审查与能耗双控政策的衔接。</w:t>
      </w:r>
      <w:r>
        <w:rPr>
          <w:rFonts w:hint="eastAsia"/>
          <w:b w:val="0"/>
          <w:bCs w:val="0"/>
          <w:color w:val="000000" w:themeColor="text1"/>
        </w:rPr>
        <w:t>在</w:t>
      </w:r>
      <w:r>
        <w:rPr>
          <w:b w:val="0"/>
          <w:bCs w:val="0"/>
          <w:color w:val="000000" w:themeColor="text1"/>
        </w:rPr>
        <w:t>钢铁、水泥等行业</w:t>
      </w:r>
      <w:r>
        <w:rPr>
          <w:rFonts w:hint="eastAsia"/>
          <w:b w:val="0"/>
          <w:bCs w:val="0"/>
          <w:color w:val="000000" w:themeColor="text1"/>
        </w:rPr>
        <w:t>通过兼并重组实现</w:t>
      </w:r>
      <w:r>
        <w:rPr>
          <w:b w:val="0"/>
          <w:bCs w:val="0"/>
          <w:color w:val="000000" w:themeColor="text1"/>
        </w:rPr>
        <w:t>聚集发展</w:t>
      </w:r>
      <w:r>
        <w:rPr>
          <w:rFonts w:hint="eastAsia"/>
          <w:b w:val="0"/>
          <w:bCs w:val="0"/>
          <w:color w:val="000000" w:themeColor="text1"/>
        </w:rPr>
        <w:t>，提升行业整体能效。</w:t>
      </w:r>
      <w:r>
        <w:rPr>
          <w:b w:val="0"/>
          <w:bCs w:val="0"/>
          <w:color w:val="000000" w:themeColor="text1"/>
        </w:rPr>
        <w:t>推动新建钢铁冶炼项目依托现有生产基地集聚发展，鼓励长流程钢厂通过就地改造转型发展电炉短流程炼钢。鼓励不同行业融合发展，提高资源转化效率，实现协同节能降碳</w:t>
      </w:r>
      <w:r>
        <w:rPr>
          <w:rFonts w:hint="eastAsia"/>
          <w:b w:val="0"/>
          <w:bCs w:val="0"/>
          <w:color w:val="000000" w:themeColor="text1"/>
        </w:rPr>
        <w:t>，</w:t>
      </w:r>
      <w:r>
        <w:rPr>
          <w:b w:val="0"/>
          <w:bCs w:val="0"/>
          <w:color w:val="000000" w:themeColor="text1"/>
        </w:rPr>
        <w:t>坚持炼化一体化、煤化电热一体化和多联发展方向，构建企业首尾相连、互为供需和生产装置互联互通的产业链</w:t>
      </w:r>
      <w:r>
        <w:rPr>
          <w:rFonts w:hint="eastAsia"/>
          <w:b w:val="0"/>
          <w:bCs w:val="0"/>
          <w:color w:val="000000" w:themeColor="text1"/>
        </w:rPr>
        <w:t>。引导产业</w:t>
      </w:r>
      <w:r>
        <w:rPr>
          <w:b w:val="0"/>
          <w:bCs w:val="0"/>
          <w:color w:val="000000" w:themeColor="text1"/>
        </w:rPr>
        <w:t>形成规模效应，突出能源环境等基础设施共建共享，降低单位产品能耗和碳排放。（</w:t>
      </w:r>
      <w:r>
        <w:rPr>
          <w:rFonts w:hint="eastAsia"/>
          <w:b w:val="0"/>
          <w:bCs w:val="0"/>
          <w:color w:val="000000" w:themeColor="text1"/>
        </w:rPr>
        <w:t>市</w:t>
      </w:r>
      <w:r>
        <w:rPr>
          <w:b w:val="0"/>
          <w:bCs w:val="0"/>
          <w:color w:val="000000" w:themeColor="text1"/>
        </w:rPr>
        <w:t>发展改革委、</w:t>
      </w:r>
      <w:r>
        <w:rPr>
          <w:rFonts w:hint="eastAsia"/>
          <w:b w:val="0"/>
          <w:bCs w:val="0"/>
          <w:color w:val="000000" w:themeColor="text1"/>
        </w:rPr>
        <w:t>市经济信息委）</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textAlignment w:val="auto"/>
        <w:rPr>
          <w:rFonts w:hint="eastAsia" w:ascii="方正楷体_GBK" w:hAnsi="方正楷体_GBK" w:eastAsia="方正楷体_GBK" w:cs="方正楷体_GBK"/>
          <w:b w:val="0"/>
          <w:bCs w:val="0"/>
          <w:color w:val="000000" w:themeColor="text1"/>
        </w:rPr>
      </w:pPr>
      <w:r>
        <w:rPr>
          <w:rFonts w:hint="eastAsia" w:ascii="方正楷体_GBK" w:hAnsi="方正楷体_GBK" w:eastAsia="方正楷体_GBK" w:cs="方正楷体_GBK"/>
          <w:b w:val="0"/>
          <w:bCs w:val="0"/>
          <w:color w:val="000000" w:themeColor="text1"/>
        </w:rPr>
        <w:t>（八）推动数据中心绿色高质量发展</w:t>
      </w:r>
    </w:p>
    <w:p>
      <w:pPr>
        <w:adjustRightInd/>
        <w:spacing w:after="0" w:afterLines="0" w:line="240" w:lineRule="auto"/>
        <w:ind w:firstLine="632" w:firstLineChars="200"/>
        <w:textAlignment w:val="auto"/>
        <w:rPr>
          <w:b w:val="0"/>
          <w:bCs w:val="0"/>
          <w:color w:val="000000" w:themeColor="text1"/>
        </w:rPr>
      </w:pPr>
      <w:r>
        <w:rPr>
          <w:b w:val="0"/>
          <w:bCs w:val="0"/>
          <w:color w:val="000000" w:themeColor="text1"/>
        </w:rPr>
        <w:t>鼓励重点行业利用绿色数据中心等新型基础设施实现节能降耗。新建大型、超大型数据中心PUE值（电能利用效率）不超过1.3。到2025年，现有数据中心PUE值（电能利用效率）不超过1.5。同时满足我市相关规划布局、纳入全国一体化算力网络国家枢纽节点且PUE值（电能利用效率）小于等于1.</w:t>
      </w:r>
      <w:r>
        <w:rPr>
          <w:rFonts w:hint="default"/>
          <w:b w:val="0"/>
          <w:bCs w:val="0"/>
          <w:color w:val="000000" w:themeColor="text1"/>
        </w:rPr>
        <w:t>25</w:t>
      </w:r>
      <w:r>
        <w:rPr>
          <w:b w:val="0"/>
          <w:bCs w:val="0"/>
          <w:color w:val="000000" w:themeColor="text1"/>
        </w:rPr>
        <w:t>的新建数据中心项目，原则上可由市级统筹支持部分能耗。（</w:t>
      </w:r>
      <w:r>
        <w:rPr>
          <w:rFonts w:hint="eastAsia"/>
          <w:b w:val="0"/>
          <w:bCs w:val="0"/>
          <w:color w:val="000000" w:themeColor="text1"/>
        </w:rPr>
        <w:t>市大数据发展局、市</w:t>
      </w:r>
      <w:r>
        <w:rPr>
          <w:b w:val="0"/>
          <w:bCs w:val="0"/>
          <w:color w:val="000000" w:themeColor="text1"/>
        </w:rPr>
        <w:t>发展改革委、</w:t>
      </w:r>
      <w:r>
        <w:rPr>
          <w:rFonts w:hint="eastAsia"/>
          <w:b w:val="0"/>
          <w:bCs w:val="0"/>
          <w:color w:val="000000" w:themeColor="text1"/>
        </w:rPr>
        <w:t>市经济信息委</w:t>
      </w:r>
      <w:r>
        <w:rPr>
          <w:b w:val="0"/>
          <w:bCs w:val="0"/>
          <w:color w:val="000000" w:themeColor="text1"/>
        </w:rPr>
        <w:t>）</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textAlignment w:val="auto"/>
        <w:rPr>
          <w:rFonts w:hint="eastAsia" w:ascii="方正黑体_GBK" w:hAnsi="方正黑体_GBK" w:eastAsia="方正黑体_GBK" w:cs="方正黑体_GBK"/>
          <w:b w:val="0"/>
          <w:bCs w:val="0"/>
          <w:color w:val="000000" w:themeColor="text1"/>
          <w:kern w:val="0"/>
          <w:sz w:val="20"/>
          <w:szCs w:val="20"/>
          <w:lang w:val="en-US" w:eastAsia="zh-CN"/>
        </w:rPr>
      </w:pPr>
      <w:r>
        <w:rPr>
          <w:rFonts w:hint="eastAsia" w:ascii="方正黑体_GBK" w:hAnsi="方正黑体_GBK" w:eastAsia="方正黑体_GBK" w:cs="方正黑体_GBK"/>
          <w:b w:val="0"/>
          <w:bCs w:val="0"/>
          <w:color w:val="000000" w:themeColor="text1"/>
        </w:rPr>
        <w:t>三、保障措施</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textAlignment w:val="auto"/>
        <w:rPr>
          <w:rFonts w:hint="eastAsia" w:ascii="方正楷体_GBK" w:hAnsi="方正楷体_GBK" w:eastAsia="方正楷体_GBK" w:cs="方正楷体_GBK"/>
          <w:b w:val="0"/>
          <w:bCs w:val="0"/>
          <w:color w:val="000000" w:themeColor="text1"/>
        </w:rPr>
      </w:pPr>
      <w:r>
        <w:rPr>
          <w:rFonts w:hint="eastAsia" w:ascii="方正楷体_GBK" w:hAnsi="方正楷体_GBK" w:eastAsia="方正楷体_GBK" w:cs="方正楷体_GBK"/>
          <w:b w:val="0"/>
          <w:bCs w:val="0"/>
          <w:color w:val="000000" w:themeColor="text1"/>
        </w:rPr>
        <w:t>（一）加大财政金融支持力度</w:t>
      </w:r>
    </w:p>
    <w:p>
      <w:pPr>
        <w:adjustRightInd/>
        <w:spacing w:after="0" w:afterLines="0" w:line="240" w:lineRule="auto"/>
        <w:ind w:firstLine="632" w:firstLineChars="200"/>
        <w:textAlignment w:val="auto"/>
        <w:rPr>
          <w:b w:val="0"/>
          <w:bCs w:val="0"/>
          <w:color w:val="000000" w:themeColor="text1"/>
        </w:rPr>
      </w:pPr>
      <w:r>
        <w:rPr>
          <w:b w:val="0"/>
          <w:bCs w:val="0"/>
          <w:color w:val="000000" w:themeColor="text1"/>
        </w:rPr>
        <w:t>落实节能专用装备、技术改造</w:t>
      </w:r>
      <w:r>
        <w:rPr>
          <w:rFonts w:hint="eastAsia"/>
          <w:b w:val="0"/>
          <w:bCs w:val="0"/>
          <w:color w:val="000000" w:themeColor="text1"/>
        </w:rPr>
        <w:t>和</w:t>
      </w:r>
      <w:r>
        <w:rPr>
          <w:b w:val="0"/>
          <w:bCs w:val="0"/>
          <w:color w:val="000000" w:themeColor="text1"/>
        </w:rPr>
        <w:t>资源综合利用等鼓励政策以及税收优惠政策。</w:t>
      </w:r>
      <w:r>
        <w:rPr>
          <w:rFonts w:hint="eastAsia"/>
          <w:b w:val="0"/>
          <w:bCs w:val="0"/>
          <w:color w:val="000000" w:themeColor="text1"/>
        </w:rPr>
        <w:t>用好市内各项专项资金，积极</w:t>
      </w:r>
      <w:r>
        <w:rPr>
          <w:b w:val="0"/>
          <w:bCs w:val="0"/>
          <w:color w:val="000000" w:themeColor="text1"/>
        </w:rPr>
        <w:t>争取中央预算内投资</w:t>
      </w:r>
      <w:r>
        <w:rPr>
          <w:rFonts w:hint="eastAsia"/>
          <w:b w:val="0"/>
          <w:bCs w:val="0"/>
          <w:color w:val="000000" w:themeColor="text1"/>
        </w:rPr>
        <w:t>，</w:t>
      </w:r>
      <w:r>
        <w:rPr>
          <w:b w:val="0"/>
          <w:bCs w:val="0"/>
          <w:color w:val="000000" w:themeColor="text1"/>
        </w:rPr>
        <w:t>支持企业开展节能降碳技术改造。在现有奖补政策基础上，加大财政资金奖补力度，适当提高奖补比例。积极发展绿色金融，利用好碳减排支持工具，支持金融机构在风险可控、商业可持续的前提下，向节能降碳效应显著的重点项目提供高质量、全方位的金融服务。拓展绿色债券市场的深度和广度，支持符合条件的</w:t>
      </w:r>
      <w:r>
        <w:rPr>
          <w:rFonts w:hint="eastAsia"/>
          <w:b w:val="0"/>
          <w:bCs w:val="0"/>
          <w:color w:val="000000" w:themeColor="text1"/>
        </w:rPr>
        <w:t>节能低碳发展</w:t>
      </w:r>
      <w:r>
        <w:rPr>
          <w:b w:val="0"/>
          <w:bCs w:val="0"/>
          <w:color w:val="000000" w:themeColor="text1"/>
        </w:rPr>
        <w:t>企业上市融资和再融资。落实首台（套）重大技术装备示范应用、重点新材料首批次应用鼓励政策</w:t>
      </w:r>
      <w:r>
        <w:rPr>
          <w:rFonts w:hint="eastAsia"/>
          <w:b w:val="0"/>
          <w:bCs w:val="0"/>
          <w:color w:val="000000" w:themeColor="text1"/>
        </w:rPr>
        <w:t>。</w:t>
      </w:r>
      <w:r>
        <w:rPr>
          <w:b w:val="0"/>
          <w:bCs w:val="0"/>
          <w:color w:val="000000" w:themeColor="text1"/>
        </w:rPr>
        <w:t>（</w:t>
      </w:r>
      <w:r>
        <w:rPr>
          <w:rFonts w:hint="eastAsia"/>
          <w:b w:val="0"/>
          <w:bCs w:val="0"/>
          <w:color w:val="000000" w:themeColor="text1"/>
        </w:rPr>
        <w:t>市</w:t>
      </w:r>
      <w:r>
        <w:rPr>
          <w:b w:val="0"/>
          <w:bCs w:val="0"/>
          <w:color w:val="000000" w:themeColor="text1"/>
        </w:rPr>
        <w:t>发展改革委、</w:t>
      </w:r>
      <w:r>
        <w:rPr>
          <w:rFonts w:hint="eastAsia"/>
          <w:b w:val="0"/>
          <w:bCs w:val="0"/>
          <w:color w:val="000000" w:themeColor="text1"/>
        </w:rPr>
        <w:t>市经济信息委、市财政局、人行重庆营管部、重庆证监局</w:t>
      </w:r>
      <w:r>
        <w:rPr>
          <w:b w:val="0"/>
          <w:bCs w:val="0"/>
          <w:color w:val="000000" w:themeColor="text1"/>
        </w:rPr>
        <w:t>）</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textAlignment w:val="auto"/>
        <w:rPr>
          <w:rFonts w:hint="eastAsia" w:ascii="方正楷体_GBK" w:hAnsi="方正楷体_GBK" w:eastAsia="方正楷体_GBK" w:cs="方正楷体_GBK"/>
          <w:b w:val="0"/>
          <w:bCs w:val="0"/>
          <w:color w:val="000000" w:themeColor="text1"/>
        </w:rPr>
      </w:pPr>
      <w:r>
        <w:rPr>
          <w:rFonts w:hint="eastAsia" w:ascii="方正楷体_GBK" w:hAnsi="方正楷体_GBK" w:eastAsia="方正楷体_GBK" w:cs="方正楷体_GBK"/>
          <w:b w:val="0"/>
          <w:bCs w:val="0"/>
          <w:color w:val="000000" w:themeColor="text1"/>
        </w:rPr>
        <w:t>（二）加强政策协同支撑</w:t>
      </w:r>
    </w:p>
    <w:p>
      <w:pPr>
        <w:adjustRightInd/>
        <w:spacing w:after="0" w:afterLines="0" w:line="240" w:lineRule="auto"/>
        <w:ind w:firstLine="632" w:firstLineChars="200"/>
        <w:textAlignment w:val="auto"/>
        <w:rPr>
          <w:b w:val="0"/>
          <w:bCs w:val="0"/>
          <w:color w:val="000000" w:themeColor="text1"/>
        </w:rPr>
      </w:pPr>
      <w:r>
        <w:rPr>
          <w:rFonts w:hint="eastAsia"/>
          <w:b w:val="0"/>
          <w:bCs w:val="0"/>
          <w:color w:val="000000" w:themeColor="text1"/>
        </w:rPr>
        <w:t>严格执行节能降碳相关政策，</w:t>
      </w:r>
      <w:r>
        <w:rPr>
          <w:b w:val="0"/>
          <w:bCs w:val="0"/>
          <w:color w:val="000000" w:themeColor="text1"/>
        </w:rPr>
        <w:t>做好重点领域节能改造与产业结构调整、环境准入、节能审查、能耗双控、遏制</w:t>
      </w:r>
      <w:r>
        <w:rPr>
          <w:rFonts w:hint="eastAsia" w:ascii="方正仿宋_GBK" w:hAnsi="方正仿宋_GBK" w:cs="方正仿宋_GBK"/>
          <w:b w:val="0"/>
          <w:bCs w:val="0"/>
          <w:color w:val="000000" w:themeColor="text1"/>
        </w:rPr>
        <w:t>“</w:t>
      </w:r>
      <w:r>
        <w:rPr>
          <w:b w:val="0"/>
          <w:bCs w:val="0"/>
          <w:color w:val="000000" w:themeColor="text1"/>
        </w:rPr>
        <w:t>两高</w:t>
      </w:r>
      <w:r>
        <w:rPr>
          <w:rFonts w:hint="eastAsia" w:ascii="方正仿宋_GBK" w:hAnsi="方正仿宋_GBK" w:cs="方正仿宋_GBK"/>
          <w:b w:val="0"/>
          <w:bCs w:val="0"/>
          <w:color w:val="000000" w:themeColor="text1"/>
        </w:rPr>
        <w:t>”</w:t>
      </w:r>
      <w:r>
        <w:rPr>
          <w:b w:val="0"/>
          <w:bCs w:val="0"/>
          <w:color w:val="000000" w:themeColor="text1"/>
        </w:rPr>
        <w:t>项目盲目发展等工作的衔接。</w:t>
      </w:r>
      <w:r>
        <w:rPr>
          <w:rFonts w:hint="eastAsia"/>
          <w:b w:val="0"/>
          <w:bCs w:val="0"/>
          <w:color w:val="000000" w:themeColor="text1"/>
        </w:rPr>
        <w:t>通过差别化电价、节能监察等手段推动市场调节，依靠现有重点用能企业节能监察、</w:t>
      </w:r>
      <w:r>
        <w:rPr>
          <w:rFonts w:hint="eastAsia" w:ascii="方正仿宋_GBK" w:hAnsi="方正仿宋_GBK" w:cs="方正仿宋_GBK"/>
          <w:b w:val="0"/>
          <w:bCs w:val="0"/>
          <w:color w:val="000000" w:themeColor="text1"/>
        </w:rPr>
        <w:t>“</w:t>
      </w:r>
      <w:r>
        <w:rPr>
          <w:rFonts w:hint="eastAsia"/>
          <w:b w:val="0"/>
          <w:bCs w:val="0"/>
          <w:color w:val="000000" w:themeColor="text1"/>
        </w:rPr>
        <w:t>百千万</w:t>
      </w:r>
      <w:r>
        <w:rPr>
          <w:rFonts w:hint="eastAsia" w:ascii="方正仿宋_GBK" w:hAnsi="方正仿宋_GBK" w:cs="方正仿宋_GBK"/>
          <w:b w:val="0"/>
          <w:bCs w:val="0"/>
          <w:color w:val="000000" w:themeColor="text1"/>
        </w:rPr>
        <w:t>”</w:t>
      </w:r>
      <w:r>
        <w:rPr>
          <w:rFonts w:hint="eastAsia"/>
          <w:b w:val="0"/>
          <w:bCs w:val="0"/>
          <w:color w:val="000000" w:themeColor="text1"/>
        </w:rPr>
        <w:t>行动、节能目标考核、环保监督执法等手段加大督促落实力度</w:t>
      </w:r>
      <w:r>
        <w:rPr>
          <w:b w:val="0"/>
          <w:bCs w:val="0"/>
          <w:color w:val="000000" w:themeColor="text1"/>
        </w:rPr>
        <w:t>。</w:t>
      </w:r>
      <w:r>
        <w:rPr>
          <w:rFonts w:hint="eastAsia"/>
          <w:b w:val="0"/>
          <w:bCs w:val="0"/>
          <w:color w:val="000000" w:themeColor="text1"/>
        </w:rPr>
        <w:t>严格落实有关产能置换政策，加大闲置产能、僵尸产能处置力度，加速淘汰落后产能。</w:t>
      </w:r>
      <w:r>
        <w:rPr>
          <w:b w:val="0"/>
          <w:bCs w:val="0"/>
          <w:color w:val="000000" w:themeColor="text1"/>
        </w:rPr>
        <w:t>（</w:t>
      </w:r>
      <w:r>
        <w:rPr>
          <w:rFonts w:hint="eastAsia"/>
          <w:b w:val="0"/>
          <w:bCs w:val="0"/>
          <w:color w:val="000000" w:themeColor="text1"/>
        </w:rPr>
        <w:t>市</w:t>
      </w:r>
      <w:r>
        <w:rPr>
          <w:b w:val="0"/>
          <w:bCs w:val="0"/>
          <w:color w:val="000000" w:themeColor="text1"/>
        </w:rPr>
        <w:t>发展改革委、</w:t>
      </w:r>
      <w:r>
        <w:rPr>
          <w:rFonts w:hint="eastAsia"/>
          <w:b w:val="0"/>
          <w:bCs w:val="0"/>
          <w:color w:val="000000" w:themeColor="text1"/>
        </w:rPr>
        <w:t>市经济信息委、市生态环境局、市场监管局、市能源局</w:t>
      </w:r>
      <w:r>
        <w:rPr>
          <w:b w:val="0"/>
          <w:bCs w:val="0"/>
          <w:color w:val="000000" w:themeColor="text1"/>
        </w:rPr>
        <w:t>）</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textAlignment w:val="auto"/>
        <w:rPr>
          <w:rFonts w:hint="eastAsia" w:ascii="方正楷体_GBK" w:hAnsi="方正楷体_GBK" w:eastAsia="方正楷体_GBK" w:cs="方正楷体_GBK"/>
          <w:b w:val="0"/>
          <w:bCs w:val="0"/>
          <w:color w:val="000000" w:themeColor="text1"/>
        </w:rPr>
      </w:pPr>
      <w:r>
        <w:rPr>
          <w:rFonts w:hint="eastAsia" w:ascii="方正楷体_GBK" w:hAnsi="方正楷体_GBK" w:eastAsia="方正楷体_GBK" w:cs="方正楷体_GBK"/>
          <w:b w:val="0"/>
          <w:bCs w:val="0"/>
          <w:color w:val="000000" w:themeColor="text1"/>
        </w:rPr>
        <w:t>（三）完善监督管理体系</w:t>
      </w:r>
    </w:p>
    <w:p>
      <w:pPr>
        <w:adjustRightInd/>
        <w:spacing w:after="0" w:afterLines="0" w:line="240" w:lineRule="auto"/>
        <w:ind w:firstLine="632" w:firstLineChars="200"/>
        <w:textAlignment w:val="auto"/>
        <w:rPr>
          <w:b w:val="0"/>
          <w:bCs w:val="0"/>
          <w:color w:val="000000" w:themeColor="text1"/>
        </w:rPr>
      </w:pPr>
      <w:r>
        <w:rPr>
          <w:rFonts w:hint="eastAsia"/>
          <w:b w:val="0"/>
          <w:bCs w:val="0"/>
          <w:color w:val="000000" w:themeColor="text1"/>
        </w:rPr>
        <w:t>建立健全重点领域能效和碳排放监察与评价体系，稳步推进企业能耗和碳排放核算、计量、报告、核查和评价工作。</w:t>
      </w:r>
      <w:r>
        <w:rPr>
          <w:b w:val="0"/>
          <w:bCs w:val="0"/>
          <w:color w:val="000000" w:themeColor="text1"/>
        </w:rPr>
        <w:t>加强对</w:t>
      </w:r>
      <w:r>
        <w:rPr>
          <w:rFonts w:hint="eastAsia"/>
          <w:b w:val="0"/>
          <w:bCs w:val="0"/>
          <w:color w:val="000000" w:themeColor="text1"/>
        </w:rPr>
        <w:t>重点行业</w:t>
      </w:r>
      <w:r>
        <w:rPr>
          <w:b w:val="0"/>
          <w:bCs w:val="0"/>
          <w:color w:val="000000" w:themeColor="text1"/>
        </w:rPr>
        <w:t>能效水平执行情况的</w:t>
      </w:r>
      <w:r>
        <w:rPr>
          <w:rFonts w:hint="eastAsia"/>
          <w:b w:val="0"/>
          <w:bCs w:val="0"/>
          <w:color w:val="000000" w:themeColor="text1"/>
        </w:rPr>
        <w:t>日常监测和现场</w:t>
      </w:r>
      <w:r>
        <w:rPr>
          <w:b w:val="0"/>
          <w:bCs w:val="0"/>
          <w:color w:val="000000" w:themeColor="text1"/>
        </w:rPr>
        <w:t>检查</w:t>
      </w:r>
      <w:r>
        <w:rPr>
          <w:rFonts w:hint="eastAsia"/>
          <w:b w:val="0"/>
          <w:bCs w:val="0"/>
          <w:color w:val="000000" w:themeColor="text1"/>
        </w:rPr>
        <w:t>，发挥各地节能主管部门作用，加大节能监察工作力度，统筹推进重点行业节能监察，确保相关政策标准落实落地。利用市内现有重点用能企业能耗在线监控平台，进一步拓展平台覆盖范围，提高平台监控能力及分析能力，强化日常监管。</w:t>
      </w:r>
      <w:r>
        <w:rPr>
          <w:b w:val="0"/>
          <w:bCs w:val="0"/>
          <w:color w:val="000000" w:themeColor="text1"/>
        </w:rPr>
        <w:t>压实属地监管责任，建立健全通报批评、用能预警、约谈问责等工作机制</w:t>
      </w:r>
      <w:r>
        <w:rPr>
          <w:rFonts w:hint="eastAsia"/>
          <w:b w:val="0"/>
          <w:bCs w:val="0"/>
          <w:color w:val="000000" w:themeColor="text1"/>
        </w:rPr>
        <w:t>，</w:t>
      </w:r>
      <w:r>
        <w:rPr>
          <w:b w:val="0"/>
          <w:bCs w:val="0"/>
          <w:color w:val="000000" w:themeColor="text1"/>
        </w:rPr>
        <w:t>完善重点行业节能降碳监管体系</w:t>
      </w:r>
      <w:r>
        <w:rPr>
          <w:rFonts w:hint="eastAsia"/>
          <w:b w:val="0"/>
          <w:bCs w:val="0"/>
          <w:color w:val="000000" w:themeColor="text1"/>
        </w:rPr>
        <w:t>，发挥信用信息共享平台作用，依法依规加强对违规企业的失信联合惩戒</w:t>
      </w:r>
      <w:r>
        <w:rPr>
          <w:b w:val="0"/>
          <w:bCs w:val="0"/>
          <w:color w:val="000000" w:themeColor="text1"/>
        </w:rPr>
        <w:t>。（</w:t>
      </w:r>
      <w:r>
        <w:rPr>
          <w:rFonts w:hint="eastAsia"/>
          <w:b w:val="0"/>
          <w:bCs w:val="0"/>
          <w:color w:val="000000" w:themeColor="text1"/>
        </w:rPr>
        <w:t>市</w:t>
      </w:r>
      <w:r>
        <w:rPr>
          <w:b w:val="0"/>
          <w:bCs w:val="0"/>
          <w:color w:val="000000" w:themeColor="text1"/>
        </w:rPr>
        <w:t>发展改革委、</w:t>
      </w:r>
      <w:r>
        <w:rPr>
          <w:rFonts w:hint="eastAsia"/>
          <w:b w:val="0"/>
          <w:bCs w:val="0"/>
          <w:color w:val="000000" w:themeColor="text1"/>
        </w:rPr>
        <w:t>市经济信息委、市生态环境局、市场监管局、市能源局</w:t>
      </w:r>
      <w:r>
        <w:rPr>
          <w:b w:val="0"/>
          <w:bCs w:val="0"/>
          <w:color w:val="000000" w:themeColor="text1"/>
        </w:rPr>
        <w:t>）</w:t>
      </w:r>
    </w:p>
    <w:p>
      <w:pPr>
        <w:keepNext w:val="0"/>
        <w:keepLines w:val="0"/>
        <w:pageBreakBefore w:val="0"/>
        <w:kinsoku/>
        <w:wordWrap/>
        <w:overflowPunct/>
        <w:topLinePunct w:val="0"/>
        <w:autoSpaceDE/>
        <w:autoSpaceDN/>
        <w:bidi w:val="0"/>
        <w:adjustRightInd/>
        <w:snapToGrid/>
        <w:spacing w:after="0" w:afterLines="0" w:line="240" w:lineRule="auto"/>
        <w:ind w:firstLine="632" w:firstLineChars="200"/>
        <w:textAlignment w:val="auto"/>
        <w:rPr>
          <w:rFonts w:hint="eastAsia" w:ascii="方正楷体_GBK" w:hAnsi="方正楷体_GBK" w:eastAsia="方正楷体_GBK" w:cs="方正楷体_GBK"/>
          <w:b w:val="0"/>
          <w:bCs w:val="0"/>
          <w:color w:val="000000" w:themeColor="text1"/>
        </w:rPr>
      </w:pPr>
      <w:r>
        <w:rPr>
          <w:rFonts w:hint="eastAsia" w:ascii="方正楷体_GBK" w:hAnsi="方正楷体_GBK" w:eastAsia="方正楷体_GBK" w:cs="方正楷体_GBK"/>
          <w:b w:val="0"/>
          <w:bCs w:val="0"/>
          <w:color w:val="000000" w:themeColor="text1"/>
        </w:rPr>
        <w:t>（四）加强政策宣传解读</w:t>
      </w:r>
    </w:p>
    <w:p>
      <w:pPr>
        <w:adjustRightInd/>
        <w:spacing w:after="0" w:afterLines="0" w:line="240" w:lineRule="auto"/>
        <w:ind w:firstLine="632" w:firstLineChars="200"/>
        <w:textAlignment w:val="auto"/>
        <w:rPr>
          <w:rFonts w:hint="eastAsia"/>
          <w:b w:val="0"/>
          <w:bCs w:val="0"/>
          <w:color w:val="000000" w:themeColor="text1"/>
        </w:rPr>
      </w:pPr>
      <w:r>
        <w:rPr>
          <w:rFonts w:hint="eastAsia"/>
          <w:b w:val="0"/>
          <w:bCs w:val="0"/>
          <w:color w:val="000000" w:themeColor="text1"/>
        </w:rPr>
        <w:t>充分利用政府部门、行业协会、新闻媒体等渠道，</w:t>
      </w:r>
      <w:r>
        <w:rPr>
          <w:b w:val="0"/>
          <w:bCs w:val="0"/>
          <w:color w:val="000000" w:themeColor="text1"/>
        </w:rPr>
        <w:t>加强政策解读和舆论引导，积极回应社会关切和热点问题，传递以能效水平引领重点领域节能降碳的坚定决心。遴选</w:t>
      </w:r>
      <w:r>
        <w:rPr>
          <w:rFonts w:hint="eastAsia"/>
          <w:b w:val="0"/>
          <w:bCs w:val="0"/>
          <w:color w:val="000000" w:themeColor="text1"/>
        </w:rPr>
        <w:t>重点行业能效水平突出企业</w:t>
      </w:r>
      <w:r>
        <w:rPr>
          <w:b w:val="0"/>
          <w:bCs w:val="0"/>
          <w:color w:val="000000" w:themeColor="text1"/>
        </w:rPr>
        <w:t>，</w:t>
      </w:r>
      <w:r>
        <w:rPr>
          <w:rFonts w:hint="eastAsia"/>
          <w:b w:val="0"/>
          <w:bCs w:val="0"/>
          <w:color w:val="000000" w:themeColor="text1"/>
        </w:rPr>
        <w:t>发布能效</w:t>
      </w:r>
      <w:r>
        <w:rPr>
          <w:rFonts w:hint="eastAsia" w:ascii="方正仿宋_GBK" w:hAnsi="方正仿宋_GBK" w:cs="方正仿宋_GBK"/>
          <w:b w:val="0"/>
          <w:bCs w:val="0"/>
          <w:color w:val="000000" w:themeColor="text1"/>
        </w:rPr>
        <w:t>“</w:t>
      </w:r>
      <w:r>
        <w:rPr>
          <w:rFonts w:hint="eastAsia"/>
          <w:b w:val="0"/>
          <w:bCs w:val="0"/>
          <w:color w:val="000000" w:themeColor="text1"/>
        </w:rPr>
        <w:t>领跑者</w:t>
      </w:r>
      <w:r>
        <w:rPr>
          <w:rFonts w:hint="eastAsia" w:ascii="方正仿宋_GBK" w:hAnsi="方正仿宋_GBK" w:cs="方正仿宋_GBK"/>
          <w:b w:val="0"/>
          <w:bCs w:val="0"/>
          <w:color w:val="000000" w:themeColor="text1"/>
        </w:rPr>
        <w:t>”</w:t>
      </w:r>
      <w:r>
        <w:rPr>
          <w:rFonts w:hint="eastAsia"/>
          <w:b w:val="0"/>
          <w:bCs w:val="0"/>
          <w:color w:val="000000" w:themeColor="text1"/>
        </w:rPr>
        <w:t>名单，形成一批可借鉴、可复制、可推广的经验，及时进行宣传推介</w:t>
      </w:r>
      <w:r>
        <w:rPr>
          <w:b w:val="0"/>
          <w:bCs w:val="0"/>
          <w:color w:val="000000" w:themeColor="text1"/>
        </w:rPr>
        <w:t>。</w:t>
      </w:r>
      <w:r>
        <w:rPr>
          <w:rFonts w:hint="eastAsia"/>
          <w:b w:val="0"/>
          <w:bCs w:val="0"/>
          <w:color w:val="000000" w:themeColor="text1"/>
        </w:rPr>
        <w:t>（市</w:t>
      </w:r>
      <w:r>
        <w:rPr>
          <w:b w:val="0"/>
          <w:bCs w:val="0"/>
          <w:color w:val="000000" w:themeColor="text1"/>
        </w:rPr>
        <w:t>发展改革委、</w:t>
      </w:r>
      <w:r>
        <w:rPr>
          <w:rFonts w:hint="eastAsia"/>
          <w:b w:val="0"/>
          <w:bCs w:val="0"/>
          <w:color w:val="000000" w:themeColor="text1"/>
        </w:rPr>
        <w:t>市经济信息委、市市场监管局、市能源局）</w:t>
      </w:r>
    </w:p>
    <w:p>
      <w:pPr>
        <w:adjustRightInd/>
        <w:spacing w:after="0" w:afterLines="0" w:line="240" w:lineRule="auto"/>
        <w:ind w:firstLine="632" w:firstLineChars="200"/>
        <w:textAlignment w:val="auto"/>
        <w:rPr>
          <w:rFonts w:hint="eastAsia"/>
          <w:b w:val="0"/>
          <w:bCs w:val="0"/>
          <w:color w:val="000000" w:themeColor="text1"/>
        </w:rPr>
      </w:pPr>
    </w:p>
    <w:p>
      <w:pPr>
        <w:adjustRightInd/>
        <w:spacing w:after="0" w:afterLines="0" w:line="240" w:lineRule="auto"/>
        <w:ind w:left="0" w:leftChars="0" w:right="0" w:firstLine="632" w:firstLineChars="200"/>
        <w:contextualSpacing w:val="0"/>
        <w:textAlignment w:val="auto"/>
        <w:rPr>
          <w:rFonts w:hint="default" w:ascii="Times New Roman" w:hAnsi="Times New Roman" w:cs="Times New Roman"/>
          <w:color w:val="000000" w:themeColor="text1"/>
        </w:rPr>
      </w:pPr>
      <w:r>
        <w:rPr>
          <w:rFonts w:hint="eastAsia"/>
          <w:b w:val="0"/>
          <w:bCs w:val="0"/>
          <w:color w:val="000000" w:themeColor="text1"/>
        </w:rPr>
        <w:t>附件：高耗能行业重</w:t>
      </w:r>
      <w:r>
        <w:rPr>
          <w:rFonts w:hint="eastAsia"/>
          <w:color w:val="000000" w:themeColor="text1"/>
        </w:rPr>
        <w:t>点领域能效标杆水平和基准水平（</w:t>
      </w:r>
      <w:r>
        <w:rPr>
          <w:rFonts w:hint="default"/>
          <w:color w:val="000000" w:themeColor="text1"/>
        </w:rPr>
        <w:t>2021</w:t>
      </w:r>
    </w:p>
    <w:p>
      <w:pPr>
        <w:adjustRightInd/>
        <w:spacing w:after="0" w:afterLines="0" w:line="240" w:lineRule="auto"/>
        <w:ind w:left="0" w:leftChars="0" w:right="0" w:firstLine="1580" w:firstLineChars="500"/>
        <w:contextualSpacing w:val="0"/>
        <w:textAlignment w:val="auto"/>
        <w:rPr>
          <w:color w:val="000000" w:themeColor="text1"/>
        </w:rPr>
      </w:pPr>
      <w:r>
        <w:rPr>
          <w:rFonts w:hint="eastAsia"/>
          <w:color w:val="000000" w:themeColor="text1"/>
        </w:rPr>
        <w:t>年版）</w:t>
      </w:r>
    </w:p>
    <w:p>
      <w:pPr>
        <w:adjustRightInd/>
        <w:spacing w:after="0" w:afterLines="0" w:line="240" w:lineRule="auto"/>
        <w:ind w:left="0" w:leftChars="0" w:right="0" w:firstLine="1134"/>
        <w:contextualSpacing/>
        <w:textAlignment w:val="auto"/>
        <w:rPr>
          <w:color w:val="000000" w:themeColor="text1"/>
        </w:rPr>
        <w:sectPr>
          <w:headerReference r:id="rId4" w:type="first"/>
          <w:footerReference r:id="rId6" w:type="first"/>
          <w:headerReference r:id="rId3" w:type="default"/>
          <w:footerReference r:id="rId5" w:type="default"/>
          <w:pgSz w:w="11905" w:h="16838"/>
          <w:pgMar w:top="2098" w:right="1531" w:bottom="1984" w:left="1531" w:header="850" w:footer="1417" w:gutter="0"/>
          <w:cols w:space="0" w:num="1"/>
          <w:rtlGutter w:val="0"/>
          <w:docGrid w:type="linesAndChars" w:linePitch="579" w:charSpace="-856"/>
        </w:sectPr>
      </w:pPr>
    </w:p>
    <w:p>
      <w:pPr>
        <w:adjustRightInd/>
        <w:spacing w:before="0" w:after="0" w:line="580" w:lineRule="exact"/>
        <w:ind w:right="1757"/>
        <w:textAlignment w:val="auto"/>
        <w:rPr>
          <w:rFonts w:hint="eastAsia" w:ascii="方正黑体_GBK" w:hAnsi="方正黑体_GBK" w:eastAsia="方正黑体_GBK" w:cs="方正黑体_GBK"/>
          <w:color w:val="000000" w:themeColor="text1"/>
          <w:kern w:val="2"/>
          <w:sz w:val="32"/>
          <w:szCs w:val="32"/>
        </w:rPr>
      </w:pPr>
      <w:r>
        <w:rPr>
          <w:rFonts w:hint="eastAsia" w:ascii="方正黑体_GBK" w:hAnsi="方正黑体_GBK" w:eastAsia="方正黑体_GBK" w:cs="方正黑体_GBK"/>
          <w:color w:val="000000" w:themeColor="text1"/>
          <w:kern w:val="2"/>
          <w:sz w:val="32"/>
          <w:szCs w:val="32"/>
        </w:rPr>
        <w:t>附件</w:t>
      </w:r>
    </w:p>
    <w:p>
      <w:pPr>
        <w:adjustRightInd/>
        <w:spacing w:before="0" w:after="0" w:line="580" w:lineRule="exact"/>
        <w:ind w:right="1757"/>
        <w:textAlignment w:val="auto"/>
        <w:rPr>
          <w:rFonts w:hint="eastAsia" w:ascii="方正黑体_GBK" w:hAnsi="方正黑体_GBK" w:eastAsia="方正黑体_GBK" w:cs="方正黑体_GBK"/>
          <w:color w:val="000000" w:themeColor="text1"/>
          <w:kern w:val="2"/>
          <w:sz w:val="32"/>
          <w:szCs w:val="32"/>
          <w:lang w:val="en-US" w:eastAsia="zh-CN"/>
        </w:rPr>
      </w:pPr>
    </w:p>
    <w:p>
      <w:pPr>
        <w:adjustRightInd/>
        <w:spacing w:before="0" w:after="0" w:line="580" w:lineRule="exact"/>
        <w:ind w:left="1757" w:right="1757" w:firstLine="0"/>
        <w:jc w:val="center"/>
        <w:textAlignment w:val="auto"/>
        <w:rPr>
          <w:rFonts w:hint="eastAsia" w:ascii="方正小标宋_GBK" w:hAnsi="方正小标宋_GBK" w:eastAsia="方正小标宋_GBK" w:cs="方正小标宋_GBK"/>
          <w:color w:val="000000" w:themeColor="text1"/>
          <w:kern w:val="2"/>
          <w:sz w:val="44"/>
          <w:szCs w:val="44"/>
        </w:rPr>
      </w:pPr>
      <w:r>
        <w:rPr>
          <w:rFonts w:hint="eastAsia" w:ascii="方正小标宋_GBK" w:hAnsi="方正小标宋_GBK" w:eastAsia="方正小标宋_GBK" w:cs="方正小标宋_GBK"/>
          <w:color w:val="000000" w:themeColor="text1"/>
          <w:kern w:val="2"/>
          <w:sz w:val="44"/>
          <w:szCs w:val="44"/>
        </w:rPr>
        <w:t>高耗能行业重点领域能效标杆水平和基准水平</w:t>
      </w:r>
    </w:p>
    <w:tbl>
      <w:tblPr>
        <w:tblStyle w:val="8"/>
        <w:tblpPr w:leftFromText="180" w:rightFromText="180" w:vertAnchor="text" w:horzAnchor="page" w:tblpX="960" w:tblpY="643"/>
        <w:tblOverlap w:val="never"/>
        <w:tblW w:w="147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492"/>
        <w:gridCol w:w="1016"/>
        <w:gridCol w:w="1320"/>
        <w:gridCol w:w="1528"/>
        <w:gridCol w:w="1395"/>
        <w:gridCol w:w="2911"/>
        <w:gridCol w:w="1223"/>
        <w:gridCol w:w="1223"/>
        <w:gridCol w:w="831"/>
        <w:gridCol w:w="831"/>
        <w:gridCol w:w="1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restart"/>
            <w:vAlign w:val="center"/>
          </w:tcPr>
          <w:p>
            <w:pPr>
              <w:adjustRightInd/>
              <w:spacing w:before="0" w:beforeLines="0" w:after="0" w:afterLines="0" w:line="320" w:lineRule="exact"/>
              <w:ind w:left="0"/>
              <w:jc w:val="center"/>
              <w:textAlignment w:val="auto"/>
              <w:rPr>
                <w:rFonts w:hint="default" w:ascii="方正仿宋_GBK" w:hAnsi="方正仿宋_GBK" w:eastAsia="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序</w:t>
            </w:r>
          </w:p>
          <w:p>
            <w:pPr>
              <w:adjustRightInd/>
              <w:spacing w:before="0" w:beforeLines="0" w:after="0" w:afterLines="0" w:line="320" w:lineRule="exact"/>
              <w:ind w:left="0"/>
              <w:jc w:val="center"/>
              <w:textAlignment w:val="auto"/>
              <w:rPr>
                <w:rFonts w:hint="default" w:ascii="方正仿宋_GBK" w:hAnsi="方正仿宋_GBK" w:eastAsia="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号</w:t>
            </w:r>
          </w:p>
        </w:tc>
        <w:tc>
          <w:tcPr>
            <w:tcW w:w="3864" w:type="dxa"/>
            <w:gridSpan w:val="3"/>
            <w:vAlign w:val="center"/>
          </w:tcPr>
          <w:p>
            <w:pPr>
              <w:adjustRightInd/>
              <w:spacing w:before="0" w:beforeLines="0" w:after="0" w:afterLines="0" w:line="320" w:lineRule="exact"/>
              <w:ind w:left="0" w:firstLine="0" w:firstLineChars="0"/>
              <w:jc w:val="center"/>
              <w:textAlignment w:val="auto"/>
              <w:rPr>
                <w:rFonts w:hint="default" w:ascii="方正仿宋_GBK" w:hAnsi="方正仿宋_GBK" w:eastAsia="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国民经济行业分类及代码</w:t>
            </w:r>
          </w:p>
        </w:tc>
        <w:tc>
          <w:tcPr>
            <w:tcW w:w="4306" w:type="dxa"/>
            <w:gridSpan w:val="2"/>
            <w:vMerge w:val="restart"/>
            <w:vAlign w:val="center"/>
          </w:tcPr>
          <w:p>
            <w:pPr>
              <w:adjustRightInd/>
              <w:spacing w:before="0" w:beforeLines="0" w:after="0" w:afterLines="0" w:line="320" w:lineRule="exact"/>
              <w:ind w:left="0" w:right="0"/>
              <w:jc w:val="center"/>
              <w:textAlignment w:val="auto"/>
              <w:rPr>
                <w:rFonts w:hint="default" w:ascii="方正仿宋_GBK" w:hAnsi="方正仿宋_GBK" w:eastAsia="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重点领域</w:t>
            </w:r>
          </w:p>
        </w:tc>
        <w:tc>
          <w:tcPr>
            <w:tcW w:w="1223" w:type="dxa"/>
            <w:vMerge w:val="restart"/>
            <w:vAlign w:val="center"/>
          </w:tcPr>
          <w:p>
            <w:pPr>
              <w:adjustRightInd/>
              <w:spacing w:before="0" w:beforeLines="0" w:after="0" w:afterLines="0" w:line="320" w:lineRule="exact"/>
              <w:ind w:left="0"/>
              <w:jc w:val="center"/>
              <w:textAlignment w:val="auto"/>
              <w:rPr>
                <w:rFonts w:hint="default" w:ascii="方正仿宋_GBK" w:hAnsi="方正仿宋_GBK" w:eastAsia="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指标名称</w:t>
            </w:r>
          </w:p>
        </w:tc>
        <w:tc>
          <w:tcPr>
            <w:tcW w:w="1223" w:type="dxa"/>
            <w:vMerge w:val="restart"/>
            <w:vAlign w:val="center"/>
          </w:tcPr>
          <w:p>
            <w:pPr>
              <w:adjustRightInd/>
              <w:spacing w:before="0" w:beforeLines="0" w:after="0" w:afterLines="0" w:line="320" w:lineRule="exact"/>
              <w:ind w:left="0"/>
              <w:jc w:val="center"/>
              <w:textAlignment w:val="auto"/>
              <w:rPr>
                <w:rFonts w:hint="default" w:ascii="方正仿宋_GBK" w:hAnsi="方正仿宋_GBK" w:eastAsia="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指标单位</w:t>
            </w:r>
          </w:p>
        </w:tc>
        <w:tc>
          <w:tcPr>
            <w:tcW w:w="831" w:type="dxa"/>
            <w:vMerge w:val="restart"/>
            <w:vAlign w:val="center"/>
          </w:tcPr>
          <w:p>
            <w:pPr>
              <w:adjustRightInd/>
              <w:spacing w:before="0" w:beforeLines="0" w:after="0" w:afterLines="0" w:line="320" w:lineRule="exact"/>
              <w:ind w:left="0"/>
              <w:jc w:val="center"/>
              <w:textAlignment w:val="auto"/>
              <w:rPr>
                <w:rFonts w:hint="default" w:ascii="方正仿宋_GBK" w:hAnsi="方正仿宋_GBK" w:eastAsia="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标杆</w:t>
            </w:r>
          </w:p>
          <w:p>
            <w:pPr>
              <w:adjustRightInd/>
              <w:spacing w:before="0" w:beforeLines="0" w:after="0" w:afterLines="0" w:line="320" w:lineRule="exact"/>
              <w:ind w:left="0"/>
              <w:jc w:val="center"/>
              <w:textAlignment w:val="auto"/>
              <w:rPr>
                <w:rFonts w:hint="default" w:ascii="方正仿宋_GBK" w:hAnsi="方正仿宋_GBK" w:eastAsia="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水平</w:t>
            </w:r>
          </w:p>
        </w:tc>
        <w:tc>
          <w:tcPr>
            <w:tcW w:w="831" w:type="dxa"/>
            <w:vMerge w:val="restart"/>
            <w:vAlign w:val="center"/>
          </w:tcPr>
          <w:p>
            <w:pPr>
              <w:adjustRightInd/>
              <w:spacing w:before="0" w:beforeLines="0" w:after="0" w:afterLines="0" w:line="320" w:lineRule="exact"/>
              <w:ind w:left="0"/>
              <w:jc w:val="center"/>
              <w:textAlignment w:val="auto"/>
              <w:rPr>
                <w:rFonts w:hint="default" w:ascii="方正仿宋_GBK" w:hAnsi="方正仿宋_GBK" w:eastAsia="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基准</w:t>
            </w:r>
          </w:p>
          <w:p>
            <w:pPr>
              <w:adjustRightInd/>
              <w:spacing w:before="0" w:beforeLines="0" w:after="0" w:afterLines="0" w:line="320" w:lineRule="exact"/>
              <w:ind w:left="0"/>
              <w:jc w:val="center"/>
              <w:textAlignment w:val="auto"/>
              <w:rPr>
                <w:rFonts w:hint="default" w:ascii="方正仿宋_GBK" w:hAnsi="方正仿宋_GBK" w:eastAsia="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水平</w:t>
            </w:r>
          </w:p>
        </w:tc>
        <w:tc>
          <w:tcPr>
            <w:tcW w:w="1970" w:type="dxa"/>
            <w:vMerge w:val="restart"/>
            <w:vAlign w:val="center"/>
          </w:tcPr>
          <w:p>
            <w:pPr>
              <w:adjustRightInd/>
              <w:spacing w:before="0" w:beforeLines="0" w:after="0" w:afterLines="0" w:line="320" w:lineRule="exact"/>
              <w:ind w:left="0"/>
              <w:jc w:val="center"/>
              <w:textAlignment w:val="auto"/>
              <w:rPr>
                <w:rFonts w:hint="default" w:ascii="方正仿宋_GBK" w:hAnsi="方正仿宋_GBK" w:eastAsia="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参考标准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rPr>
            </w:pPr>
          </w:p>
        </w:tc>
        <w:tc>
          <w:tcPr>
            <w:tcW w:w="1016" w:type="dxa"/>
            <w:vAlign w:val="center"/>
          </w:tcPr>
          <w:p>
            <w:pPr>
              <w:adjustRightInd/>
              <w:spacing w:before="0" w:beforeLines="0" w:after="0" w:afterLines="0" w:line="320" w:lineRule="exact"/>
              <w:ind w:left="0"/>
              <w:jc w:val="center"/>
              <w:textAlignment w:val="auto"/>
              <w:rPr>
                <w:rFonts w:hint="default" w:ascii="方正仿宋_GBK" w:hAnsi="方正仿宋_GBK" w:eastAsia="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大类</w:t>
            </w:r>
          </w:p>
        </w:tc>
        <w:tc>
          <w:tcPr>
            <w:tcW w:w="1320" w:type="dxa"/>
            <w:vAlign w:val="center"/>
          </w:tcPr>
          <w:p>
            <w:pPr>
              <w:adjustRightInd/>
              <w:spacing w:before="0" w:beforeLines="0" w:after="0" w:afterLines="0" w:line="320" w:lineRule="exact"/>
              <w:ind w:left="0"/>
              <w:jc w:val="center"/>
              <w:textAlignment w:val="auto"/>
              <w:rPr>
                <w:rFonts w:hint="default" w:ascii="方正仿宋_GBK" w:hAnsi="方正仿宋_GBK" w:eastAsia="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中类</w:t>
            </w:r>
          </w:p>
        </w:tc>
        <w:tc>
          <w:tcPr>
            <w:tcW w:w="1528" w:type="dxa"/>
            <w:vAlign w:val="center"/>
          </w:tcPr>
          <w:p>
            <w:pPr>
              <w:adjustRightInd/>
              <w:spacing w:before="0" w:beforeLines="0" w:after="0" w:afterLines="0" w:line="320" w:lineRule="exact"/>
              <w:ind w:left="0" w:right="0"/>
              <w:jc w:val="center"/>
              <w:textAlignment w:val="auto"/>
              <w:rPr>
                <w:rFonts w:hint="default" w:ascii="方正仿宋_GBK" w:hAnsi="方正仿宋_GBK" w:eastAsia="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小类</w:t>
            </w:r>
          </w:p>
        </w:tc>
        <w:tc>
          <w:tcPr>
            <w:tcW w:w="4306" w:type="dxa"/>
            <w:gridSpan w:val="2"/>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rPr>
            </w:pPr>
          </w:p>
        </w:tc>
        <w:tc>
          <w:tcPr>
            <w:tcW w:w="1223"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rPr>
            </w:pPr>
          </w:p>
        </w:tc>
        <w:tc>
          <w:tcPr>
            <w:tcW w:w="1223"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rPr>
            </w:pPr>
          </w:p>
        </w:tc>
        <w:tc>
          <w:tcPr>
            <w:tcW w:w="831"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rPr>
            </w:pPr>
          </w:p>
        </w:tc>
        <w:tc>
          <w:tcPr>
            <w:tcW w:w="831"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rPr>
            </w:pPr>
          </w:p>
        </w:tc>
        <w:tc>
          <w:tcPr>
            <w:tcW w:w="1970"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90" w:hRule="atLeast"/>
          <w:jc w:val="center"/>
        </w:trPr>
        <w:tc>
          <w:tcPr>
            <w:tcW w:w="492" w:type="dxa"/>
            <w:vMerge w:val="restart"/>
            <w:vAlign w:val="center"/>
          </w:tcPr>
          <w:p>
            <w:pPr>
              <w:adjustRightInd/>
              <w:spacing w:beforeLines="0" w:after="0" w:afterLines="0" w:line="320" w:lineRule="exact"/>
              <w:ind w:lef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1</w:t>
            </w:r>
          </w:p>
        </w:tc>
        <w:tc>
          <w:tcPr>
            <w:tcW w:w="1016" w:type="dxa"/>
            <w:vMerge w:val="restart"/>
            <w:vAlign w:val="center"/>
          </w:tcPr>
          <w:p>
            <w:pPr>
              <w:adjustRightInd/>
              <w:spacing w:before="0" w:beforeLines="0" w:after="0" w:afterLines="0" w:line="320" w:lineRule="exact"/>
              <w:ind w:left="0" w:right="0" w:firstLine="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石油、煤炭及其他燃料加工业（</w:t>
            </w:r>
            <w:r>
              <w:rPr>
                <w:rFonts w:hint="default" w:ascii="Times New Roman" w:hAnsi="Times New Roman" w:eastAsia="方正仿宋_GBK" w:cs="Times New Roman"/>
                <w:color w:val="000000" w:themeColor="text1"/>
                <w:kern w:val="2"/>
                <w:sz w:val="24"/>
                <w:szCs w:val="24"/>
                <w:lang w:eastAsia="en-US"/>
              </w:rPr>
              <w:t>25</w:t>
            </w:r>
            <w:r>
              <w:rPr>
                <w:rFonts w:hint="eastAsia" w:ascii="方正仿宋_GBK" w:hAnsi="方正仿宋_GBK" w:eastAsia="方正仿宋_GBK" w:cs="方正仿宋_GBK"/>
                <w:color w:val="000000" w:themeColor="text1"/>
                <w:kern w:val="2"/>
                <w:sz w:val="24"/>
                <w:szCs w:val="24"/>
                <w:lang w:eastAsia="en-US"/>
              </w:rPr>
              <w:t>）</w:t>
            </w:r>
          </w:p>
        </w:tc>
        <w:tc>
          <w:tcPr>
            <w:tcW w:w="1320"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精炼石油产品制造</w:t>
            </w:r>
          </w:p>
          <w:p>
            <w:pPr>
              <w:adjustRightInd/>
              <w:spacing w:before="0" w:beforeLines="0" w:after="0" w:afterLines="0" w:line="320" w:lineRule="exact"/>
              <w:ind w:lef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251</w:t>
            </w:r>
            <w:r>
              <w:rPr>
                <w:rFonts w:hint="eastAsia" w:ascii="方正仿宋_GBK" w:hAnsi="方正仿宋_GBK" w:eastAsia="方正仿宋_GBK" w:cs="方正仿宋_GBK"/>
                <w:color w:val="000000" w:themeColor="text1"/>
                <w:kern w:val="2"/>
                <w:sz w:val="24"/>
                <w:szCs w:val="24"/>
                <w:lang w:eastAsia="en-US"/>
              </w:rPr>
              <w:t>）</w:t>
            </w:r>
          </w:p>
        </w:tc>
        <w:tc>
          <w:tcPr>
            <w:tcW w:w="1528"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原油加工及石油制品制</w:t>
            </w:r>
          </w:p>
          <w:p>
            <w:pPr>
              <w:adjustRightInd/>
              <w:spacing w:before="0" w:beforeLines="0" w:after="0" w:afterLines="0" w:line="320" w:lineRule="exact"/>
              <w:ind w:lef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造（</w:t>
            </w:r>
            <w:r>
              <w:rPr>
                <w:rFonts w:hint="default" w:ascii="Times New Roman" w:hAnsi="Times New Roman" w:eastAsia="方正仿宋_GBK" w:cs="Times New Roman"/>
                <w:color w:val="000000" w:themeColor="text1"/>
                <w:kern w:val="2"/>
                <w:sz w:val="24"/>
                <w:szCs w:val="24"/>
                <w:lang w:eastAsia="en-US"/>
              </w:rPr>
              <w:t>2511</w:t>
            </w:r>
            <w:r>
              <w:rPr>
                <w:rFonts w:hint="eastAsia" w:ascii="方正仿宋_GBK" w:hAnsi="方正仿宋_GBK" w:eastAsia="方正仿宋_GBK" w:cs="方正仿宋_GBK"/>
                <w:color w:val="000000" w:themeColor="text1"/>
                <w:kern w:val="2"/>
                <w:sz w:val="24"/>
                <w:szCs w:val="24"/>
                <w:lang w:eastAsia="en-US"/>
              </w:rPr>
              <w:t>）</w:t>
            </w:r>
          </w:p>
        </w:tc>
        <w:tc>
          <w:tcPr>
            <w:tcW w:w="4306" w:type="dxa"/>
            <w:gridSpan w:val="2"/>
            <w:vAlign w:val="center"/>
          </w:tcPr>
          <w:p>
            <w:pPr>
              <w:adjustRightInd/>
              <w:spacing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炼油</w:t>
            </w:r>
          </w:p>
        </w:tc>
        <w:tc>
          <w:tcPr>
            <w:tcW w:w="1223" w:type="dxa"/>
            <w:vAlign w:val="center"/>
          </w:tcPr>
          <w:p>
            <w:pPr>
              <w:adjustRightInd/>
              <w:spacing w:before="0" w:beforeLines="0" w:after="0" w:afterLines="0" w:line="320" w:lineRule="exact"/>
              <w:ind w:left="0" w:right="0" w:firstLine="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单位能量因数综合</w:t>
            </w:r>
          </w:p>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能耗</w:t>
            </w:r>
          </w:p>
        </w:tc>
        <w:tc>
          <w:tcPr>
            <w:tcW w:w="1223" w:type="dxa"/>
            <w:vAlign w:val="center"/>
          </w:tcPr>
          <w:p>
            <w:pPr>
              <w:adjustRightInd/>
              <w:spacing w:before="0" w:beforeLines="0" w:after="0" w:afterLines="0" w:line="320" w:lineRule="exact"/>
              <w:ind w:left="0" w:right="0" w:firstLine="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千克标准油/吨·能</w:t>
            </w:r>
          </w:p>
          <w:p>
            <w:pPr>
              <w:adjustRightInd/>
              <w:spacing w:before="0" w:beforeLines="0" w:after="0" w:afterLines="0" w:line="320" w:lineRule="exact"/>
              <w:ind w:lef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量因数</w:t>
            </w:r>
          </w:p>
        </w:tc>
        <w:tc>
          <w:tcPr>
            <w:tcW w:w="831" w:type="dxa"/>
            <w:vAlign w:val="center"/>
          </w:tcPr>
          <w:p>
            <w:pPr>
              <w:adjustRightInd/>
              <w:spacing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7</w:t>
            </w: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5</w:t>
            </w:r>
          </w:p>
        </w:tc>
        <w:tc>
          <w:tcPr>
            <w:tcW w:w="831" w:type="dxa"/>
            <w:vAlign w:val="center"/>
          </w:tcPr>
          <w:p>
            <w:pPr>
              <w:adjustRightInd/>
              <w:spacing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8</w:t>
            </w: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5</w:t>
            </w:r>
          </w:p>
        </w:tc>
        <w:tc>
          <w:tcPr>
            <w:tcW w:w="1970" w:type="dxa"/>
            <w:vAlign w:val="center"/>
          </w:tcPr>
          <w:p>
            <w:pPr>
              <w:adjustRightInd/>
              <w:spacing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30251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016"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320" w:type="dxa"/>
            <w:vMerge w:val="restart"/>
            <w:vAlign w:val="center"/>
          </w:tcPr>
          <w:p>
            <w:pPr>
              <w:adjustRightInd/>
              <w:spacing w:beforeLines="0" w:after="0" w:afterLines="0" w:line="320" w:lineRule="exact"/>
              <w:ind w:lef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煤炭加工</w:t>
            </w:r>
          </w:p>
          <w:p>
            <w:pPr>
              <w:adjustRightInd/>
              <w:spacing w:before="0" w:beforeLines="0" w:after="0" w:afterLines="0" w:line="320" w:lineRule="exact"/>
              <w:ind w:lef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252</w:t>
            </w:r>
            <w:r>
              <w:rPr>
                <w:rFonts w:hint="eastAsia" w:ascii="方正仿宋_GBK" w:hAnsi="方正仿宋_GBK" w:eastAsia="方正仿宋_GBK" w:cs="方正仿宋_GBK"/>
                <w:color w:val="000000" w:themeColor="text1"/>
                <w:kern w:val="2"/>
                <w:sz w:val="24"/>
                <w:szCs w:val="24"/>
                <w:lang w:eastAsia="en-US"/>
              </w:rPr>
              <w:t>）</w:t>
            </w:r>
          </w:p>
        </w:tc>
        <w:tc>
          <w:tcPr>
            <w:tcW w:w="1528" w:type="dxa"/>
            <w:vMerge w:val="restart"/>
            <w:vAlign w:val="center"/>
          </w:tcPr>
          <w:p>
            <w:pPr>
              <w:adjustRightInd/>
              <w:spacing w:before="0" w:beforeLines="0" w:after="0" w:afterLines="0" w:line="320" w:lineRule="exact"/>
              <w:ind w:lef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炼焦（</w:t>
            </w:r>
            <w:r>
              <w:rPr>
                <w:rFonts w:hint="default" w:ascii="Times New Roman" w:hAnsi="Times New Roman" w:eastAsia="方正仿宋_GBK" w:cs="Times New Roman"/>
                <w:color w:val="000000" w:themeColor="text1"/>
                <w:kern w:val="2"/>
                <w:sz w:val="24"/>
                <w:szCs w:val="24"/>
                <w:lang w:eastAsia="en-US"/>
              </w:rPr>
              <w:t>2521</w:t>
            </w:r>
            <w:r>
              <w:rPr>
                <w:rFonts w:hint="eastAsia" w:ascii="方正仿宋_GBK" w:hAnsi="方正仿宋_GBK" w:eastAsia="方正仿宋_GBK" w:cs="方正仿宋_GBK"/>
                <w:color w:val="000000" w:themeColor="text1"/>
                <w:kern w:val="2"/>
                <w:sz w:val="24"/>
                <w:szCs w:val="24"/>
                <w:lang w:eastAsia="en-US"/>
              </w:rPr>
              <w:t>）</w:t>
            </w:r>
          </w:p>
        </w:tc>
        <w:tc>
          <w:tcPr>
            <w:tcW w:w="1395" w:type="dxa"/>
            <w:vMerge w:val="restart"/>
            <w:vAlign w:val="center"/>
          </w:tcPr>
          <w:p>
            <w:pPr>
              <w:adjustRightInd/>
              <w:spacing w:before="0" w:beforeLines="0" w:after="0" w:afterLines="0" w:line="320" w:lineRule="exact"/>
              <w:ind w:lef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煤制焦炭</w:t>
            </w:r>
          </w:p>
        </w:tc>
        <w:tc>
          <w:tcPr>
            <w:tcW w:w="291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顶装焦炉</w:t>
            </w:r>
          </w:p>
        </w:tc>
        <w:tc>
          <w:tcPr>
            <w:tcW w:w="1223" w:type="dxa"/>
            <w:vMerge w:val="restart"/>
            <w:vAlign w:val="center"/>
          </w:tcPr>
          <w:p>
            <w:pPr>
              <w:adjustRightInd/>
              <w:spacing w:before="0" w:beforeLines="0" w:after="0" w:afterLines="0" w:line="320" w:lineRule="exact"/>
              <w:ind w:left="0" w:right="0" w:firstLine="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单位产品能耗</w:t>
            </w:r>
          </w:p>
        </w:tc>
        <w:tc>
          <w:tcPr>
            <w:tcW w:w="1223" w:type="dxa"/>
            <w:vMerge w:val="restart"/>
            <w:vAlign w:val="center"/>
          </w:tcPr>
          <w:p>
            <w:pPr>
              <w:adjustRightInd/>
              <w:spacing w:before="0" w:beforeLines="0" w:after="0" w:afterLines="0" w:line="320" w:lineRule="exact"/>
              <w:ind w:left="0" w:right="0" w:firstLine="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千克标准</w:t>
            </w:r>
            <w:r>
              <w:rPr>
                <w:rFonts w:hint="eastAsia" w:ascii="方正仿宋_GBK" w:hAnsi="方正仿宋_GBK" w:eastAsia="方正仿宋_GBK" w:cs="方正仿宋_GBK"/>
                <w:color w:val="000000" w:themeColor="text1"/>
                <w:kern w:val="2"/>
                <w:position w:val="0"/>
                <w:sz w:val="24"/>
                <w:szCs w:val="24"/>
                <w:lang w:eastAsia="en-US"/>
              </w:rPr>
              <w:t>煤</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吨</w:t>
            </w:r>
          </w:p>
        </w:tc>
        <w:tc>
          <w:tcPr>
            <w:tcW w:w="83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110</w:t>
            </w:r>
          </w:p>
        </w:tc>
        <w:tc>
          <w:tcPr>
            <w:tcW w:w="83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135</w:t>
            </w:r>
          </w:p>
        </w:tc>
        <w:tc>
          <w:tcPr>
            <w:tcW w:w="1970" w:type="dxa"/>
            <w:vMerge w:val="restart"/>
            <w:vAlign w:val="center"/>
          </w:tcPr>
          <w:p>
            <w:pPr>
              <w:adjustRightInd/>
              <w:spacing w:before="0" w:beforeLines="0" w:after="0" w:afterLines="0" w:line="320" w:lineRule="exact"/>
              <w:ind w:left="0" w:firstLine="0" w:firstLineChars="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21342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016"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320"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528"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395"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291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捣固焦炉</w:t>
            </w:r>
          </w:p>
        </w:tc>
        <w:tc>
          <w:tcPr>
            <w:tcW w:w="1223"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223"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83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110</w:t>
            </w:r>
          </w:p>
        </w:tc>
        <w:tc>
          <w:tcPr>
            <w:tcW w:w="83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140</w:t>
            </w:r>
          </w:p>
        </w:tc>
        <w:tc>
          <w:tcPr>
            <w:tcW w:w="1970"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016"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320"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528" w:type="dxa"/>
            <w:vMerge w:val="restart"/>
            <w:vAlign w:val="center"/>
          </w:tcPr>
          <w:p>
            <w:pPr>
              <w:adjustRightInd/>
              <w:spacing w:beforeLines="0" w:after="0" w:afterLines="0" w:line="320" w:lineRule="exact"/>
              <w:ind w:left="0" w:right="0" w:firstLine="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煤制液体燃料生产</w:t>
            </w:r>
          </w:p>
          <w:p>
            <w:pPr>
              <w:adjustRightInd/>
              <w:spacing w:before="0" w:beforeLines="0" w:after="0" w:afterLines="0" w:line="320" w:lineRule="exact"/>
              <w:ind w:lef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2523</w:t>
            </w:r>
            <w:r>
              <w:rPr>
                <w:rFonts w:hint="eastAsia" w:ascii="方正仿宋_GBK" w:hAnsi="方正仿宋_GBK" w:eastAsia="方正仿宋_GBK" w:cs="方正仿宋_GBK"/>
                <w:color w:val="000000" w:themeColor="text1"/>
                <w:kern w:val="2"/>
                <w:sz w:val="24"/>
                <w:szCs w:val="24"/>
                <w:lang w:eastAsia="en-US"/>
              </w:rPr>
              <w:t>）</w:t>
            </w:r>
          </w:p>
        </w:tc>
        <w:tc>
          <w:tcPr>
            <w:tcW w:w="1395" w:type="dxa"/>
            <w:vMerge w:val="restart"/>
            <w:vAlign w:val="center"/>
          </w:tcPr>
          <w:p>
            <w:pPr>
              <w:adjustRightInd/>
              <w:spacing w:beforeLines="0" w:after="0" w:afterLines="0" w:line="320" w:lineRule="exact"/>
              <w:ind w:lef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煤制甲醇</w:t>
            </w:r>
          </w:p>
        </w:tc>
        <w:tc>
          <w:tcPr>
            <w:tcW w:w="291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褐煤</w:t>
            </w:r>
          </w:p>
        </w:tc>
        <w:tc>
          <w:tcPr>
            <w:tcW w:w="1223" w:type="dxa"/>
            <w:vMerge w:val="restart"/>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单位产品综合能耗</w:t>
            </w:r>
          </w:p>
        </w:tc>
        <w:tc>
          <w:tcPr>
            <w:tcW w:w="1223" w:type="dxa"/>
            <w:vMerge w:val="restart"/>
            <w:vAlign w:val="center"/>
          </w:tcPr>
          <w:p>
            <w:pPr>
              <w:adjustRightInd/>
              <w:spacing w:before="0" w:beforeLines="0" w:after="0" w:afterLines="0" w:line="320" w:lineRule="exact"/>
              <w:ind w:left="0" w:right="0" w:firstLine="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千克标准煤/吨</w:t>
            </w:r>
          </w:p>
        </w:tc>
        <w:tc>
          <w:tcPr>
            <w:tcW w:w="83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1550</w:t>
            </w:r>
          </w:p>
        </w:tc>
        <w:tc>
          <w:tcPr>
            <w:tcW w:w="83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2000</w:t>
            </w:r>
          </w:p>
        </w:tc>
        <w:tc>
          <w:tcPr>
            <w:tcW w:w="1970" w:type="dxa"/>
            <w:vMerge w:val="restart"/>
            <w:vAlign w:val="center"/>
          </w:tcPr>
          <w:p>
            <w:pPr>
              <w:adjustRightInd/>
              <w:spacing w:beforeLines="0" w:after="0" w:afterLines="0" w:line="320" w:lineRule="exact"/>
              <w:ind w:left="0" w:firstLine="0" w:firstLineChars="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29436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016"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320"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528"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395"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291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烟煤</w:t>
            </w:r>
          </w:p>
        </w:tc>
        <w:tc>
          <w:tcPr>
            <w:tcW w:w="1223"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223"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83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1400</w:t>
            </w:r>
          </w:p>
        </w:tc>
        <w:tc>
          <w:tcPr>
            <w:tcW w:w="83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1800</w:t>
            </w:r>
          </w:p>
        </w:tc>
        <w:tc>
          <w:tcPr>
            <w:tcW w:w="1970"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016"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320"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528"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395"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291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无烟煤</w:t>
            </w:r>
          </w:p>
        </w:tc>
        <w:tc>
          <w:tcPr>
            <w:tcW w:w="1223"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223"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83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1250</w:t>
            </w:r>
          </w:p>
        </w:tc>
        <w:tc>
          <w:tcPr>
            <w:tcW w:w="83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1600</w:t>
            </w:r>
          </w:p>
        </w:tc>
        <w:tc>
          <w:tcPr>
            <w:tcW w:w="1970"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016"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320"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528"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395"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煤制烯烃</w:t>
            </w:r>
          </w:p>
        </w:tc>
        <w:tc>
          <w:tcPr>
            <w:tcW w:w="291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乙烯和丙烯</w:t>
            </w:r>
          </w:p>
        </w:tc>
        <w:tc>
          <w:tcPr>
            <w:tcW w:w="1223"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单位产品</w:t>
            </w:r>
          </w:p>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能耗</w:t>
            </w:r>
          </w:p>
        </w:tc>
        <w:tc>
          <w:tcPr>
            <w:tcW w:w="1223"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千克标准</w:t>
            </w:r>
          </w:p>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煤/吨</w:t>
            </w:r>
          </w:p>
        </w:tc>
        <w:tc>
          <w:tcPr>
            <w:tcW w:w="83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2800</w:t>
            </w:r>
          </w:p>
        </w:tc>
        <w:tc>
          <w:tcPr>
            <w:tcW w:w="83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3300</w:t>
            </w:r>
          </w:p>
        </w:tc>
        <w:tc>
          <w:tcPr>
            <w:tcW w:w="1970"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30180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016"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320"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528"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cs="方正仿宋_GBK"/>
                <w:color w:val="000000" w:themeColor="text1"/>
                <w:spacing w:val="0"/>
                <w:kern w:val="2"/>
                <w:sz w:val="24"/>
                <w:szCs w:val="24"/>
              </w:rPr>
            </w:pPr>
          </w:p>
        </w:tc>
        <w:tc>
          <w:tcPr>
            <w:tcW w:w="1395"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煤制乙二醇</w:t>
            </w:r>
          </w:p>
        </w:tc>
        <w:tc>
          <w:tcPr>
            <w:tcW w:w="291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合成气法</w:t>
            </w:r>
          </w:p>
        </w:tc>
        <w:tc>
          <w:tcPr>
            <w:tcW w:w="1223" w:type="dxa"/>
            <w:vAlign w:val="center"/>
          </w:tcPr>
          <w:p>
            <w:pPr>
              <w:adjustRightInd/>
              <w:spacing w:before="0" w:beforeLines="0" w:after="0" w:afterLines="0" w:line="320" w:lineRule="exact"/>
              <w:ind w:lef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单位产品</w:t>
            </w:r>
          </w:p>
          <w:p>
            <w:pPr>
              <w:adjustRightInd/>
              <w:spacing w:before="0" w:beforeLines="0" w:after="0" w:afterLines="0" w:line="320" w:lineRule="exact"/>
              <w:ind w:lef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综合能耗</w:t>
            </w:r>
          </w:p>
        </w:tc>
        <w:tc>
          <w:tcPr>
            <w:tcW w:w="1223"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千克标准</w:t>
            </w:r>
          </w:p>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position w:val="0"/>
                <w:sz w:val="24"/>
                <w:szCs w:val="24"/>
                <w:lang w:eastAsia="en-US"/>
              </w:rPr>
              <w:t>煤</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吨</w:t>
            </w:r>
          </w:p>
        </w:tc>
        <w:tc>
          <w:tcPr>
            <w:tcW w:w="83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1000</w:t>
            </w:r>
          </w:p>
        </w:tc>
        <w:tc>
          <w:tcPr>
            <w:tcW w:w="831"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1350</w:t>
            </w:r>
          </w:p>
        </w:tc>
        <w:tc>
          <w:tcPr>
            <w:tcW w:w="1970"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32048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Align w:val="center"/>
          </w:tcPr>
          <w:p>
            <w:pPr>
              <w:adjustRightInd/>
              <w:spacing w:beforeLines="0" w:after="0" w:afterLines="0" w:line="320" w:lineRule="exact"/>
              <w:ind w:lef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2</w:t>
            </w:r>
          </w:p>
        </w:tc>
        <w:tc>
          <w:tcPr>
            <w:tcW w:w="1016"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化学原料和化学制品制造业</w:t>
            </w:r>
          </w:p>
          <w:p>
            <w:pPr>
              <w:adjustRightInd/>
              <w:spacing w:before="0" w:beforeLines="0" w:after="0" w:afterLines="0" w:line="320" w:lineRule="exact"/>
              <w:ind w:lef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26</w:t>
            </w:r>
            <w:r>
              <w:rPr>
                <w:rFonts w:hint="eastAsia" w:ascii="方正仿宋_GBK" w:hAnsi="方正仿宋_GBK" w:eastAsia="方正仿宋_GBK" w:cs="方正仿宋_GBK"/>
                <w:color w:val="000000" w:themeColor="text1"/>
                <w:kern w:val="2"/>
                <w:sz w:val="24"/>
                <w:szCs w:val="24"/>
                <w:lang w:eastAsia="en-US"/>
              </w:rPr>
              <w:t>）</w:t>
            </w:r>
          </w:p>
        </w:tc>
        <w:tc>
          <w:tcPr>
            <w:tcW w:w="1320"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基础化学原料制造</w:t>
            </w:r>
          </w:p>
          <w:p>
            <w:pPr>
              <w:adjustRightInd/>
              <w:spacing w:before="0" w:beforeLines="0" w:after="0" w:afterLines="0" w:line="320" w:lineRule="exact"/>
              <w:ind w:lef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261</w:t>
            </w:r>
            <w:r>
              <w:rPr>
                <w:rFonts w:hint="eastAsia" w:ascii="方正仿宋_GBK" w:hAnsi="方正仿宋_GBK" w:eastAsia="方正仿宋_GBK" w:cs="方正仿宋_GBK"/>
                <w:color w:val="000000" w:themeColor="text1"/>
                <w:kern w:val="2"/>
                <w:sz w:val="24"/>
                <w:szCs w:val="24"/>
                <w:lang w:eastAsia="en-US"/>
              </w:rPr>
              <w:t>）</w:t>
            </w:r>
          </w:p>
        </w:tc>
        <w:tc>
          <w:tcPr>
            <w:tcW w:w="1528" w:type="dxa"/>
            <w:vAlign w:val="center"/>
          </w:tcPr>
          <w:p>
            <w:pPr>
              <w:adjustRightInd/>
              <w:spacing w:beforeLines="0" w:after="0" w:afterLines="0" w:line="320" w:lineRule="exact"/>
              <w:ind w:lef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无机碱制造</w:t>
            </w:r>
          </w:p>
          <w:p>
            <w:pPr>
              <w:adjustRightInd/>
              <w:spacing w:before="0" w:beforeLines="0" w:after="0" w:afterLines="0" w:line="320" w:lineRule="exact"/>
              <w:ind w:lef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2612</w:t>
            </w:r>
            <w:r>
              <w:rPr>
                <w:rFonts w:hint="eastAsia" w:ascii="方正仿宋_GBK" w:hAnsi="方正仿宋_GBK" w:eastAsia="方正仿宋_GBK" w:cs="方正仿宋_GBK"/>
                <w:color w:val="000000" w:themeColor="text1"/>
                <w:kern w:val="2"/>
                <w:sz w:val="24"/>
                <w:szCs w:val="24"/>
                <w:lang w:eastAsia="en-US"/>
              </w:rPr>
              <w:t>）</w:t>
            </w:r>
          </w:p>
        </w:tc>
        <w:tc>
          <w:tcPr>
            <w:tcW w:w="1395" w:type="dxa"/>
            <w:vAlign w:val="center"/>
          </w:tcPr>
          <w:p>
            <w:pPr>
              <w:adjustRightInd/>
              <w:spacing w:before="0"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烧碱</w:t>
            </w:r>
          </w:p>
        </w:tc>
        <w:tc>
          <w:tcPr>
            <w:tcW w:w="2911" w:type="dxa"/>
            <w:vAlign w:val="center"/>
          </w:tcPr>
          <w:p>
            <w:pPr>
              <w:adjustRightInd/>
              <w:spacing w:beforeLines="0" w:after="0" w:afterLines="0" w:line="320" w:lineRule="exact"/>
              <w:ind w:left="0" w:right="0" w:firstLine="0"/>
              <w:jc w:val="center"/>
              <w:textAlignment w:val="auto"/>
              <w:rPr>
                <w:rFonts w:hint="default"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离子膜法液碱</w:t>
            </w:r>
          </w:p>
          <w:p>
            <w:pPr>
              <w:adjustRightInd/>
              <w:spacing w:beforeLines="0" w:after="0" w:afterLines="0" w:line="320" w:lineRule="exact"/>
              <w:ind w:left="0" w:right="0" w:firstLine="0"/>
              <w:jc w:val="center"/>
              <w:textAlignment w:val="auto"/>
              <w:rPr>
                <w:rFonts w:hint="default" w:ascii="方正仿宋_GBK" w:hAnsi="方正仿宋_GBK" w:eastAsia="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zh-CN"/>
              </w:rPr>
              <w:t>（</w:t>
            </w:r>
            <w:r>
              <w:rPr>
                <w:rFonts w:hint="eastAsia" w:ascii="方正仿宋_GBK" w:hAnsi="方正仿宋_GBK" w:eastAsia="方正仿宋_GBK" w:cs="方正仿宋_GBK"/>
                <w:color w:val="000000" w:themeColor="text1"/>
                <w:kern w:val="2"/>
                <w:sz w:val="24"/>
                <w:szCs w:val="24"/>
                <w:lang w:eastAsia="en-US"/>
              </w:rPr>
              <w:t>质量分数，下</w:t>
            </w:r>
            <w:r>
              <w:rPr>
                <w:rFonts w:hint="eastAsia" w:ascii="方正仿宋_GBK" w:hAnsi="方正仿宋_GBK" w:eastAsia="方正仿宋_GBK" w:cs="方正仿宋_GBK"/>
                <w:color w:val="000000" w:themeColor="text1"/>
                <w:kern w:val="2"/>
                <w:position w:val="0"/>
                <w:sz w:val="24"/>
                <w:szCs w:val="24"/>
                <w:lang w:eastAsia="en-US"/>
              </w:rPr>
              <w:t>同</w:t>
            </w:r>
            <w:r>
              <w:rPr>
                <w:rFonts w:hint="eastAsia" w:ascii="方正仿宋_GBK" w:hAnsi="方正仿宋_GBK" w:eastAsia="方正仿宋_GBK" w:cs="方正仿宋_GBK"/>
                <w:color w:val="000000" w:themeColor="text1"/>
                <w:kern w:val="2"/>
                <w:position w:val="0"/>
                <w:sz w:val="24"/>
                <w:szCs w:val="24"/>
                <w:lang w:eastAsia="zh-CN"/>
              </w:rPr>
              <w:t>）</w:t>
            </w:r>
            <w:r>
              <w:rPr>
                <w:rFonts w:hint="eastAsia" w:ascii="方正仿宋_GBK" w:hAnsi="方正仿宋_GBK" w:eastAsia="方正仿宋_GBK" w:cs="方正仿宋_GBK"/>
                <w:color w:val="000000" w:themeColor="text1"/>
                <w:kern w:val="2"/>
                <w:position w:val="0"/>
                <w:sz w:val="24"/>
                <w:szCs w:val="24"/>
                <w:lang w:eastAsia="en-US"/>
              </w:rPr>
              <w:t>≥</w:t>
            </w:r>
            <w:r>
              <w:rPr>
                <w:rFonts w:hint="default" w:ascii="Times New Roman" w:hAnsi="Times New Roman" w:eastAsia="方正仿宋_GBK" w:cs="Times New Roman"/>
                <w:color w:val="000000" w:themeColor="text1"/>
                <w:kern w:val="2"/>
                <w:sz w:val="24"/>
                <w:szCs w:val="24"/>
                <w:lang w:eastAsia="en-US"/>
              </w:rPr>
              <w:t>30%</w:t>
            </w:r>
          </w:p>
        </w:tc>
        <w:tc>
          <w:tcPr>
            <w:tcW w:w="1223" w:type="dxa"/>
            <w:vAlign w:val="center"/>
          </w:tcPr>
          <w:p>
            <w:pPr>
              <w:adjustRightInd/>
              <w:spacing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单位产品综合能耗</w:t>
            </w:r>
          </w:p>
        </w:tc>
        <w:tc>
          <w:tcPr>
            <w:tcW w:w="1223" w:type="dxa"/>
            <w:vAlign w:val="center"/>
          </w:tcPr>
          <w:p>
            <w:pPr>
              <w:adjustRightInd/>
              <w:spacing w:beforeLines="0" w:after="0" w:afterLines="0" w:line="320" w:lineRule="exact"/>
              <w:ind w:left="0" w:right="0" w:firstLine="0"/>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eastAsia="方正仿宋_GBK" w:cs="方正仿宋_GBK"/>
                <w:color w:val="000000" w:themeColor="text1"/>
                <w:kern w:val="2"/>
                <w:sz w:val="24"/>
                <w:szCs w:val="24"/>
                <w:lang w:eastAsia="en-US"/>
              </w:rPr>
              <w:t>千克标准煤/吨</w:t>
            </w:r>
          </w:p>
        </w:tc>
        <w:tc>
          <w:tcPr>
            <w:tcW w:w="831" w:type="dxa"/>
            <w:vAlign w:val="center"/>
          </w:tcPr>
          <w:p>
            <w:pPr>
              <w:adjustRightInd/>
              <w:spacing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315</w:t>
            </w:r>
          </w:p>
        </w:tc>
        <w:tc>
          <w:tcPr>
            <w:tcW w:w="831" w:type="dxa"/>
            <w:vAlign w:val="center"/>
          </w:tcPr>
          <w:p>
            <w:pPr>
              <w:adjustRightInd/>
              <w:spacing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350</w:t>
            </w:r>
          </w:p>
        </w:tc>
        <w:tc>
          <w:tcPr>
            <w:tcW w:w="1970" w:type="dxa"/>
            <w:vAlign w:val="center"/>
          </w:tcPr>
          <w:p>
            <w:pPr>
              <w:adjustRightInd/>
              <w:spacing w:beforeLines="0" w:after="0" w:afterLines="0" w:line="320" w:lineRule="exact"/>
              <w:ind w:left="0" w:right="0"/>
              <w:jc w:val="center"/>
              <w:textAlignment w:val="auto"/>
              <w:rPr>
                <w:rFonts w:hint="default" w:ascii="方正仿宋_GBK" w:hAnsi="方正仿宋_GBK" w:cs="方正仿宋_GBK"/>
                <w:color w:val="000000" w:themeColor="text1"/>
                <w:kern w:val="2"/>
                <w:sz w:val="24"/>
                <w:szCs w:val="24"/>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21257</w:t>
            </w:r>
          </w:p>
        </w:tc>
      </w:tr>
    </w:tbl>
    <w:p>
      <w:pPr>
        <w:adjustRightInd/>
        <w:spacing w:before="0" w:after="0" w:line="240" w:lineRule="auto"/>
        <w:ind w:left="1757" w:right="1757" w:firstLine="0"/>
        <w:jc w:val="center"/>
        <w:textAlignment w:val="auto"/>
        <w:rPr>
          <w:rFonts w:hint="eastAsia" w:ascii="方正楷体_GBK" w:hAnsi="方正楷体_GBK" w:eastAsia="方正楷体_GBK" w:cs="方正楷体_GBK"/>
          <w:color w:val="000000" w:themeColor="text1"/>
          <w:kern w:val="2"/>
          <w:sz w:val="32"/>
          <w:szCs w:val="32"/>
        </w:rPr>
      </w:pPr>
      <w:r>
        <w:rPr>
          <w:rFonts w:hint="eastAsia" w:ascii="方正楷体_GBK" w:hAnsi="方正楷体_GBK" w:eastAsia="方正楷体_GBK" w:cs="方正楷体_GBK"/>
          <w:color w:val="000000" w:themeColor="text1"/>
          <w:kern w:val="2"/>
          <w:sz w:val="32"/>
          <w:szCs w:val="32"/>
        </w:rPr>
        <w:t>（2021年版）</w:t>
      </w:r>
    </w:p>
    <w:tbl>
      <w:tblPr>
        <w:tblStyle w:val="8"/>
        <w:tblpPr w:leftFromText="180" w:rightFromText="180" w:vertAnchor="text" w:tblpXSpec="center" w:tblpY="1"/>
        <w:tblOverlap w:val="never"/>
        <w:tblW w:w="14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492"/>
        <w:gridCol w:w="1016"/>
        <w:gridCol w:w="1320"/>
        <w:gridCol w:w="1528"/>
        <w:gridCol w:w="1395"/>
        <w:gridCol w:w="2975"/>
        <w:gridCol w:w="1159"/>
        <w:gridCol w:w="1223"/>
        <w:gridCol w:w="831"/>
        <w:gridCol w:w="831"/>
        <w:gridCol w:w="1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trPr>
        <w:tc>
          <w:tcPr>
            <w:tcW w:w="492"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序</w:t>
            </w:r>
          </w:p>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号</w:t>
            </w:r>
          </w:p>
        </w:tc>
        <w:tc>
          <w:tcPr>
            <w:tcW w:w="3864" w:type="dxa"/>
            <w:gridSpan w:val="3"/>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国民经济行业分类及代码</w:t>
            </w:r>
          </w:p>
        </w:tc>
        <w:tc>
          <w:tcPr>
            <w:tcW w:w="4370" w:type="dxa"/>
            <w:gridSpan w:val="2"/>
            <w:vMerge w:val="restart"/>
            <w:vAlign w:val="center"/>
          </w:tcPr>
          <w:p>
            <w:pPr>
              <w:adjustRightInd/>
              <w:spacing w:before="0" w:beforeLines="0" w:after="0" w:afterLines="0" w:line="320" w:lineRule="exact"/>
              <w:ind w:left="0" w:righ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重点领域</w:t>
            </w:r>
          </w:p>
        </w:tc>
        <w:tc>
          <w:tcPr>
            <w:tcW w:w="1159"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指标名称</w:t>
            </w:r>
          </w:p>
        </w:tc>
        <w:tc>
          <w:tcPr>
            <w:tcW w:w="1223"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指标单位</w:t>
            </w:r>
          </w:p>
        </w:tc>
        <w:tc>
          <w:tcPr>
            <w:tcW w:w="831"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标杆</w:t>
            </w:r>
          </w:p>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水平</w:t>
            </w:r>
          </w:p>
        </w:tc>
        <w:tc>
          <w:tcPr>
            <w:tcW w:w="831"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基准</w:t>
            </w:r>
          </w:p>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水平</w:t>
            </w:r>
          </w:p>
        </w:tc>
        <w:tc>
          <w:tcPr>
            <w:tcW w:w="1970"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参考标准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trPr>
        <w:tc>
          <w:tcPr>
            <w:tcW w:w="492" w:type="dxa"/>
            <w:vMerge w:val="continue"/>
            <w:tcBorders>
              <w:top w:val="nil"/>
            </w:tcBorders>
            <w:vAlign w:val="center"/>
          </w:tcPr>
          <w:p>
            <w:pPr>
              <w:adjustRightInd/>
              <w:spacing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p>
        </w:tc>
        <w:tc>
          <w:tcPr>
            <w:tcW w:w="1016" w:type="dxa"/>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大类</w:t>
            </w:r>
          </w:p>
        </w:tc>
        <w:tc>
          <w:tcPr>
            <w:tcW w:w="1320" w:type="dxa"/>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中类</w:t>
            </w:r>
          </w:p>
        </w:tc>
        <w:tc>
          <w:tcPr>
            <w:tcW w:w="1528" w:type="dxa"/>
            <w:vAlign w:val="center"/>
          </w:tcPr>
          <w:p>
            <w:pPr>
              <w:adjustRightInd/>
              <w:spacing w:before="0" w:beforeLines="0" w:after="0" w:afterLines="0" w:line="320" w:lineRule="exact"/>
              <w:ind w:left="0" w:righ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小类</w:t>
            </w:r>
          </w:p>
        </w:tc>
        <w:tc>
          <w:tcPr>
            <w:tcW w:w="4370" w:type="dxa"/>
            <w:gridSpan w:val="2"/>
            <w:vMerge w:val="continue"/>
            <w:tcBorders>
              <w:top w:val="nil"/>
            </w:tcBorders>
            <w:vAlign w:val="center"/>
          </w:tcPr>
          <w:p>
            <w:pPr>
              <w:adjustRightInd/>
              <w:spacing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p>
        </w:tc>
        <w:tc>
          <w:tcPr>
            <w:tcW w:w="1159" w:type="dxa"/>
            <w:vMerge w:val="continue"/>
            <w:tcBorders>
              <w:top w:val="nil"/>
            </w:tcBorders>
            <w:vAlign w:val="center"/>
          </w:tcPr>
          <w:p>
            <w:pPr>
              <w:adjustRightInd/>
              <w:spacing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p>
        </w:tc>
        <w:tc>
          <w:tcPr>
            <w:tcW w:w="1223" w:type="dxa"/>
            <w:vMerge w:val="continue"/>
            <w:tcBorders>
              <w:top w:val="nil"/>
            </w:tcBorders>
            <w:vAlign w:val="center"/>
          </w:tcPr>
          <w:p>
            <w:pPr>
              <w:adjustRightInd/>
              <w:spacing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p>
        </w:tc>
        <w:tc>
          <w:tcPr>
            <w:tcW w:w="831" w:type="dxa"/>
            <w:vMerge w:val="continue"/>
            <w:tcBorders>
              <w:top w:val="nil"/>
            </w:tcBorders>
            <w:vAlign w:val="center"/>
          </w:tcPr>
          <w:p>
            <w:pPr>
              <w:adjustRightInd/>
              <w:spacing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p>
        </w:tc>
        <w:tc>
          <w:tcPr>
            <w:tcW w:w="831" w:type="dxa"/>
            <w:vMerge w:val="continue"/>
            <w:tcBorders>
              <w:top w:val="nil"/>
            </w:tcBorders>
            <w:vAlign w:val="center"/>
          </w:tcPr>
          <w:p>
            <w:pPr>
              <w:adjustRightInd/>
              <w:spacing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p>
        </w:tc>
        <w:tc>
          <w:tcPr>
            <w:tcW w:w="1970" w:type="dxa"/>
            <w:vMerge w:val="continue"/>
            <w:tcBorders>
              <w:top w:val="nil"/>
            </w:tcBorders>
            <w:vAlign w:val="center"/>
          </w:tcPr>
          <w:p>
            <w:pPr>
              <w:adjustRightInd/>
              <w:spacing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trPr>
        <w:tc>
          <w:tcPr>
            <w:tcW w:w="492" w:type="dxa"/>
            <w:vMerge w:val="restart"/>
            <w:vAlign w:val="center"/>
          </w:tcPr>
          <w:p>
            <w:pPr>
              <w:adjustRightInd/>
              <w:spacing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2</w:t>
            </w:r>
          </w:p>
        </w:tc>
        <w:tc>
          <w:tcPr>
            <w:tcW w:w="1016" w:type="dxa"/>
            <w:vMerge w:val="restart"/>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化学原料和化学制品制造业</w:t>
            </w:r>
          </w:p>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26</w:t>
            </w:r>
            <w:r>
              <w:rPr>
                <w:rFonts w:hint="eastAsia" w:ascii="方正仿宋_GBK" w:hAnsi="方正仿宋_GBK" w:eastAsia="方正仿宋_GBK" w:cs="方正仿宋_GBK"/>
                <w:color w:val="000000" w:themeColor="text1"/>
                <w:kern w:val="2"/>
                <w:sz w:val="24"/>
                <w:szCs w:val="24"/>
                <w:lang w:eastAsia="en-US"/>
              </w:rPr>
              <w:t>）</w:t>
            </w:r>
          </w:p>
        </w:tc>
        <w:tc>
          <w:tcPr>
            <w:tcW w:w="1320" w:type="dxa"/>
            <w:vMerge w:val="restart"/>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基础化学原料制造</w:t>
            </w:r>
          </w:p>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261</w:t>
            </w:r>
            <w:r>
              <w:rPr>
                <w:rFonts w:hint="eastAsia" w:ascii="方正仿宋_GBK" w:hAnsi="方正仿宋_GBK" w:eastAsia="方正仿宋_GBK" w:cs="方正仿宋_GBK"/>
                <w:color w:val="000000" w:themeColor="text1"/>
                <w:kern w:val="2"/>
                <w:sz w:val="24"/>
                <w:szCs w:val="24"/>
                <w:lang w:eastAsia="en-US"/>
              </w:rPr>
              <w:t>）</w:t>
            </w:r>
          </w:p>
        </w:tc>
        <w:tc>
          <w:tcPr>
            <w:tcW w:w="1528" w:type="dxa"/>
            <w:vMerge w:val="restart"/>
            <w:vAlign w:val="center"/>
          </w:tcPr>
          <w:p>
            <w:pPr>
              <w:adjustRightInd/>
              <w:spacing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无机碱制造</w:t>
            </w:r>
          </w:p>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2612</w:t>
            </w:r>
            <w:r>
              <w:rPr>
                <w:rFonts w:hint="eastAsia" w:ascii="方正仿宋_GBK" w:hAnsi="方正仿宋_GBK" w:eastAsia="方正仿宋_GBK" w:cs="方正仿宋_GBK"/>
                <w:color w:val="000000" w:themeColor="text1"/>
                <w:kern w:val="2"/>
                <w:sz w:val="24"/>
                <w:szCs w:val="24"/>
                <w:lang w:eastAsia="en-US"/>
              </w:rPr>
              <w:t>）</w:t>
            </w:r>
          </w:p>
        </w:tc>
        <w:tc>
          <w:tcPr>
            <w:tcW w:w="1395" w:type="dxa"/>
            <w:vMerge w:val="restart"/>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烧碱</w:t>
            </w:r>
          </w:p>
        </w:tc>
        <w:tc>
          <w:tcPr>
            <w:tcW w:w="2975" w:type="dxa"/>
            <w:vAlign w:val="center"/>
          </w:tcPr>
          <w:p>
            <w:pPr>
              <w:adjustRightInd/>
              <w:spacing w:before="0" w:beforeLines="0" w:after="0" w:afterLines="0" w:line="400" w:lineRule="exact"/>
              <w:ind w:left="0" w:righ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离子膜法液碱≥</w:t>
            </w:r>
            <w:r>
              <w:rPr>
                <w:rFonts w:hint="default" w:ascii="Times New Roman" w:hAnsi="Times New Roman" w:eastAsia="方正仿宋_GBK" w:cs="Times New Roman"/>
                <w:color w:val="000000" w:themeColor="text1"/>
                <w:kern w:val="2"/>
                <w:sz w:val="24"/>
                <w:szCs w:val="24"/>
                <w:lang w:eastAsia="en-US"/>
              </w:rPr>
              <w:t>45%</w:t>
            </w:r>
          </w:p>
        </w:tc>
        <w:tc>
          <w:tcPr>
            <w:tcW w:w="1159" w:type="dxa"/>
            <w:vMerge w:val="restart"/>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单位产品综合能耗</w:t>
            </w:r>
          </w:p>
        </w:tc>
        <w:tc>
          <w:tcPr>
            <w:tcW w:w="1223" w:type="dxa"/>
            <w:vMerge w:val="restart"/>
            <w:vAlign w:val="center"/>
          </w:tcPr>
          <w:p>
            <w:pPr>
              <w:adjustRightInd/>
              <w:spacing w:before="0" w:beforeLines="0" w:after="0" w:afterLines="0" w:line="320" w:lineRule="exact"/>
              <w:ind w:left="0" w:right="0" w:firstLine="28"/>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千克标准煤/吨</w:t>
            </w:r>
          </w:p>
        </w:tc>
        <w:tc>
          <w:tcPr>
            <w:tcW w:w="831"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420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470</w:t>
            </w:r>
          </w:p>
        </w:tc>
        <w:tc>
          <w:tcPr>
            <w:tcW w:w="1970" w:type="dxa"/>
            <w:vMerge w:val="restart"/>
            <w:vAlign w:val="center"/>
          </w:tcPr>
          <w:p>
            <w:pPr>
              <w:adjustRightInd/>
              <w:spacing w:beforeLines="0" w:after="0" w:afterLines="0" w:line="320" w:lineRule="exact"/>
              <w:ind w:left="0" w:hanging="538" w:hangingChars="228"/>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21257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2975" w:type="dxa"/>
            <w:vAlign w:val="center"/>
          </w:tcPr>
          <w:p>
            <w:pPr>
              <w:adjustRightInd/>
              <w:spacing w:before="0" w:beforeLines="0" w:after="0" w:afterLines="0" w:line="400" w:lineRule="exact"/>
              <w:ind w:left="0" w:righ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离子膜法固碱≥</w:t>
            </w:r>
            <w:r>
              <w:rPr>
                <w:rFonts w:hint="default" w:ascii="Times New Roman" w:hAnsi="Times New Roman" w:eastAsia="方正仿宋_GBK" w:cs="Times New Roman"/>
                <w:color w:val="000000" w:themeColor="text1"/>
                <w:kern w:val="2"/>
                <w:sz w:val="24"/>
                <w:szCs w:val="24"/>
                <w:lang w:eastAsia="en-US"/>
              </w:rPr>
              <w:t>98%</w:t>
            </w:r>
          </w:p>
        </w:tc>
        <w:tc>
          <w:tcPr>
            <w:tcW w:w="1159"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620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685</w:t>
            </w:r>
          </w:p>
        </w:tc>
        <w:tc>
          <w:tcPr>
            <w:tcW w:w="197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restart"/>
            <w:vAlign w:val="center"/>
          </w:tcPr>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纯碱</w:t>
            </w:r>
          </w:p>
        </w:tc>
        <w:tc>
          <w:tcPr>
            <w:tcW w:w="2975" w:type="dxa"/>
            <w:vAlign w:val="center"/>
          </w:tcPr>
          <w:p>
            <w:pPr>
              <w:adjustRightInd/>
              <w:spacing w:before="0" w:beforeLines="0" w:after="0" w:afterLines="0" w:line="40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氨碱法（轻质）</w:t>
            </w:r>
          </w:p>
        </w:tc>
        <w:tc>
          <w:tcPr>
            <w:tcW w:w="1159" w:type="dxa"/>
            <w:vMerge w:val="restart"/>
            <w:vAlign w:val="center"/>
          </w:tcPr>
          <w:p>
            <w:pPr>
              <w:adjustRightInd/>
              <w:spacing w:beforeLines="0" w:after="0" w:afterLines="0" w:line="320" w:lineRule="exact"/>
              <w:ind w:left="0" w:right="0" w:firstLine="28"/>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单位产品能耗</w:t>
            </w:r>
          </w:p>
        </w:tc>
        <w:tc>
          <w:tcPr>
            <w:tcW w:w="1223" w:type="dxa"/>
            <w:vMerge w:val="restart"/>
            <w:vAlign w:val="center"/>
          </w:tcPr>
          <w:p>
            <w:pPr>
              <w:adjustRightInd/>
              <w:spacing w:beforeLines="0" w:after="0" w:afterLines="0" w:line="320" w:lineRule="exact"/>
              <w:ind w:left="0" w:right="0" w:firstLine="28"/>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千克标准煤/吨</w:t>
            </w:r>
          </w:p>
        </w:tc>
        <w:tc>
          <w:tcPr>
            <w:tcW w:w="831"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320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370</w:t>
            </w:r>
          </w:p>
        </w:tc>
        <w:tc>
          <w:tcPr>
            <w:tcW w:w="1970" w:type="dxa"/>
            <w:vMerge w:val="restart"/>
            <w:vAlign w:val="center"/>
          </w:tcPr>
          <w:p>
            <w:pPr>
              <w:adjustRightInd/>
              <w:spacing w:before="0" w:beforeLines="0" w:after="0" w:afterLines="0" w:line="320" w:lineRule="exact"/>
              <w:ind w:left="0" w:hanging="201" w:hangingChars="85"/>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29140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2975" w:type="dxa"/>
            <w:vAlign w:val="center"/>
          </w:tcPr>
          <w:p>
            <w:pPr>
              <w:adjustRightInd/>
              <w:spacing w:before="0" w:beforeLines="0" w:after="0" w:afterLines="0" w:line="40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联碱法（轻质）</w:t>
            </w:r>
          </w:p>
        </w:tc>
        <w:tc>
          <w:tcPr>
            <w:tcW w:w="1159"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160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245</w:t>
            </w:r>
          </w:p>
        </w:tc>
        <w:tc>
          <w:tcPr>
            <w:tcW w:w="197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2975" w:type="dxa"/>
            <w:vAlign w:val="center"/>
          </w:tcPr>
          <w:p>
            <w:pPr>
              <w:adjustRightInd/>
              <w:spacing w:before="0" w:beforeLines="0" w:after="0" w:afterLines="0" w:line="40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氨碱法（重质）</w:t>
            </w:r>
          </w:p>
        </w:tc>
        <w:tc>
          <w:tcPr>
            <w:tcW w:w="1159"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390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420</w:t>
            </w:r>
          </w:p>
        </w:tc>
        <w:tc>
          <w:tcPr>
            <w:tcW w:w="197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2975" w:type="dxa"/>
            <w:vAlign w:val="center"/>
          </w:tcPr>
          <w:p>
            <w:pPr>
              <w:adjustRightInd/>
              <w:spacing w:before="0" w:beforeLines="0" w:after="0" w:afterLines="0" w:line="40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联碱法（重质）</w:t>
            </w:r>
          </w:p>
        </w:tc>
        <w:tc>
          <w:tcPr>
            <w:tcW w:w="1159"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210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295</w:t>
            </w:r>
          </w:p>
        </w:tc>
        <w:tc>
          <w:tcPr>
            <w:tcW w:w="197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无机盐制造</w:t>
            </w:r>
          </w:p>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2613</w:t>
            </w:r>
            <w:r>
              <w:rPr>
                <w:rFonts w:hint="eastAsia" w:ascii="方正仿宋_GBK" w:hAnsi="方正仿宋_GBK" w:eastAsia="方正仿宋_GBK" w:cs="方正仿宋_GBK"/>
                <w:color w:val="000000" w:themeColor="text1"/>
                <w:kern w:val="2"/>
                <w:sz w:val="24"/>
                <w:szCs w:val="24"/>
                <w:lang w:eastAsia="en-US"/>
              </w:rPr>
              <w:t>）</w:t>
            </w:r>
          </w:p>
        </w:tc>
        <w:tc>
          <w:tcPr>
            <w:tcW w:w="4370" w:type="dxa"/>
            <w:gridSpan w:val="2"/>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电石</w:t>
            </w:r>
          </w:p>
        </w:tc>
        <w:tc>
          <w:tcPr>
            <w:tcW w:w="1159"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w:t>
            </w:r>
          </w:p>
          <w:p>
            <w:pPr>
              <w:adjustRightInd/>
              <w:spacing w:before="0" w:beforeLines="0" w:after="0" w:afterLines="0" w:line="320" w:lineRule="exact"/>
              <w:ind w:left="0" w:firstLine="28"/>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综合能耗</w:t>
            </w:r>
          </w:p>
        </w:tc>
        <w:tc>
          <w:tcPr>
            <w:tcW w:w="1223" w:type="dxa"/>
            <w:vAlign w:val="center"/>
          </w:tcPr>
          <w:p>
            <w:pPr>
              <w:adjustRightInd/>
              <w:spacing w:before="0" w:beforeLines="0" w:after="0" w:afterLines="0" w:line="320" w:lineRule="exact"/>
              <w:ind w:left="0" w:right="0" w:firstLine="28"/>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w:t>
            </w:r>
          </w:p>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煤/吨</w:t>
            </w:r>
          </w:p>
        </w:tc>
        <w:tc>
          <w:tcPr>
            <w:tcW w:w="831"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805</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940</w:t>
            </w:r>
          </w:p>
        </w:tc>
        <w:tc>
          <w:tcPr>
            <w:tcW w:w="1970"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21343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restart"/>
            <w:vAlign w:val="center"/>
          </w:tcPr>
          <w:p>
            <w:pPr>
              <w:adjustRightInd/>
              <w:spacing w:before="0" w:beforeLines="0" w:after="0" w:afterLines="0" w:line="320" w:lineRule="exact"/>
              <w:ind w:left="0" w:right="0" w:hanging="212"/>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有机化学原料制造</w:t>
            </w:r>
          </w:p>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2614</w:t>
            </w:r>
            <w:r>
              <w:rPr>
                <w:rFonts w:hint="eastAsia" w:ascii="方正仿宋_GBK" w:hAnsi="方正仿宋_GBK" w:eastAsia="方正仿宋_GBK" w:cs="方正仿宋_GBK"/>
                <w:color w:val="000000" w:themeColor="text1"/>
                <w:kern w:val="2"/>
                <w:sz w:val="24"/>
                <w:szCs w:val="24"/>
                <w:lang w:eastAsia="en-US"/>
              </w:rPr>
              <w:t>）</w:t>
            </w:r>
          </w:p>
        </w:tc>
        <w:tc>
          <w:tcPr>
            <w:tcW w:w="1395"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乙烯</w:t>
            </w:r>
          </w:p>
        </w:tc>
        <w:tc>
          <w:tcPr>
            <w:tcW w:w="2975"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石脑烃类</w:t>
            </w:r>
          </w:p>
        </w:tc>
        <w:tc>
          <w:tcPr>
            <w:tcW w:w="1159"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w:t>
            </w:r>
          </w:p>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能耗</w:t>
            </w:r>
          </w:p>
        </w:tc>
        <w:tc>
          <w:tcPr>
            <w:tcW w:w="1223" w:type="dxa"/>
            <w:vAlign w:val="center"/>
          </w:tcPr>
          <w:p>
            <w:pPr>
              <w:adjustRightInd/>
              <w:spacing w:before="0" w:beforeLines="0" w:after="0" w:afterLines="0" w:line="320" w:lineRule="exact"/>
              <w:ind w:left="0" w:right="0" w:firstLine="28"/>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w:t>
            </w:r>
          </w:p>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油/吨</w:t>
            </w:r>
          </w:p>
        </w:tc>
        <w:tc>
          <w:tcPr>
            <w:tcW w:w="831"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590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640</w:t>
            </w:r>
          </w:p>
        </w:tc>
        <w:tc>
          <w:tcPr>
            <w:tcW w:w="1970"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30250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4370" w:type="dxa"/>
            <w:gridSpan w:val="2"/>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对二甲苯</w:t>
            </w:r>
          </w:p>
        </w:tc>
        <w:tc>
          <w:tcPr>
            <w:tcW w:w="1159" w:type="dxa"/>
            <w:vAlign w:val="center"/>
          </w:tcPr>
          <w:p>
            <w:pPr>
              <w:adjustRightInd/>
              <w:spacing w:before="0" w:beforeLines="0" w:after="0" w:afterLines="0" w:line="320" w:lineRule="exact"/>
              <w:ind w:left="0" w:right="0" w:firstLine="28"/>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w:t>
            </w:r>
          </w:p>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能耗</w:t>
            </w:r>
          </w:p>
        </w:tc>
        <w:tc>
          <w:tcPr>
            <w:tcW w:w="1223"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w:t>
            </w:r>
          </w:p>
          <w:p>
            <w:pPr>
              <w:adjustRightInd/>
              <w:spacing w:before="0" w:beforeLines="0" w:after="0" w:afterLines="0" w:line="320" w:lineRule="exact"/>
              <w:ind w:left="0" w:right="0" w:firstLine="28"/>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油/吨</w:t>
            </w:r>
          </w:p>
        </w:tc>
        <w:tc>
          <w:tcPr>
            <w:tcW w:w="831"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380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550</w:t>
            </w:r>
          </w:p>
        </w:tc>
        <w:tc>
          <w:tcPr>
            <w:tcW w:w="1970"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31534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Align w:val="center"/>
          </w:tcPr>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其他基础化学原料制造</w:t>
            </w:r>
          </w:p>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2619</w:t>
            </w:r>
            <w:r>
              <w:rPr>
                <w:rFonts w:hint="eastAsia" w:ascii="方正仿宋_GBK" w:hAnsi="方正仿宋_GBK" w:eastAsia="方正仿宋_GBK" w:cs="方正仿宋_GBK"/>
                <w:color w:val="000000" w:themeColor="text1"/>
                <w:kern w:val="2"/>
                <w:sz w:val="24"/>
                <w:szCs w:val="24"/>
                <w:lang w:eastAsia="en-US"/>
              </w:rPr>
              <w:t>）</w:t>
            </w:r>
          </w:p>
        </w:tc>
        <w:tc>
          <w:tcPr>
            <w:tcW w:w="4370" w:type="dxa"/>
            <w:gridSpan w:val="2"/>
            <w:vAlign w:val="center"/>
          </w:tcPr>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黄磷</w:t>
            </w:r>
          </w:p>
        </w:tc>
        <w:tc>
          <w:tcPr>
            <w:tcW w:w="1159"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单位产品综合能耗</w:t>
            </w:r>
          </w:p>
        </w:tc>
        <w:tc>
          <w:tcPr>
            <w:tcW w:w="1223" w:type="dxa"/>
            <w:vAlign w:val="center"/>
          </w:tcPr>
          <w:p>
            <w:pPr>
              <w:adjustRightInd/>
              <w:spacing w:before="0" w:beforeLines="0" w:after="0" w:afterLines="0" w:line="320" w:lineRule="exact"/>
              <w:ind w:left="0" w:right="0" w:firstLine="28"/>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千克标准煤/吨</w:t>
            </w:r>
          </w:p>
        </w:tc>
        <w:tc>
          <w:tcPr>
            <w:tcW w:w="831"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2300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2800</w:t>
            </w:r>
          </w:p>
        </w:tc>
        <w:tc>
          <w:tcPr>
            <w:tcW w:w="1970" w:type="dxa"/>
            <w:vAlign w:val="center"/>
          </w:tcPr>
          <w:p>
            <w:pPr>
              <w:adjustRightInd/>
              <w:spacing w:before="0" w:beforeLines="0" w:after="0" w:afterLines="0" w:line="320" w:lineRule="exact"/>
              <w:ind w:left="0" w:hanging="175" w:hangingChars="74"/>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21345</w:t>
            </w:r>
          </w:p>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注：对粉矿采用烧结或焙烧工艺的， 能耗数值增加</w:t>
            </w:r>
            <w:r>
              <w:rPr>
                <w:rFonts w:hint="default" w:ascii="Times New Roman" w:hAnsi="Times New Roman" w:eastAsia="方正仿宋_GBK" w:cs="Times New Roman"/>
                <w:color w:val="000000" w:themeColor="text1"/>
                <w:kern w:val="2"/>
                <w:sz w:val="24"/>
                <w:szCs w:val="24"/>
                <w:lang w:eastAsia="en-US"/>
              </w:rPr>
              <w:t>700</w:t>
            </w:r>
            <w:r>
              <w:rPr>
                <w:rFonts w:hint="eastAsia" w:ascii="方正仿宋_GBK" w:hAnsi="方正仿宋_GBK" w:eastAsia="方正仿宋_GBK" w:cs="方正仿宋_GBK"/>
                <w:color w:val="000000" w:themeColor="text1"/>
                <w:kern w:val="2"/>
                <w:sz w:val="24"/>
                <w:szCs w:val="24"/>
                <w:lang w:eastAsia="en-US"/>
              </w:rPr>
              <w:t>千克标准煤/吨。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restart"/>
            <w:vAlign w:val="center"/>
          </w:tcPr>
          <w:p>
            <w:pPr>
              <w:adjustRightInd/>
              <w:spacing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肥料制造</w:t>
            </w:r>
          </w:p>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262</w:t>
            </w:r>
            <w:r>
              <w:rPr>
                <w:rFonts w:hint="eastAsia" w:ascii="方正仿宋_GBK" w:hAnsi="方正仿宋_GBK" w:eastAsia="方正仿宋_GBK" w:cs="方正仿宋_GBK"/>
                <w:color w:val="000000" w:themeColor="text1"/>
                <w:kern w:val="2"/>
                <w:sz w:val="24"/>
                <w:szCs w:val="24"/>
                <w:lang w:eastAsia="en-US"/>
              </w:rPr>
              <w:t>）</w:t>
            </w:r>
          </w:p>
        </w:tc>
        <w:tc>
          <w:tcPr>
            <w:tcW w:w="1528" w:type="dxa"/>
            <w:vMerge w:val="restart"/>
            <w:vAlign w:val="center"/>
          </w:tcPr>
          <w:p>
            <w:pPr>
              <w:adjustRightInd/>
              <w:spacing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氮肥制造</w:t>
            </w:r>
          </w:p>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2621</w:t>
            </w:r>
            <w:r>
              <w:rPr>
                <w:rFonts w:hint="eastAsia" w:ascii="方正仿宋_GBK" w:hAnsi="方正仿宋_GBK" w:eastAsia="方正仿宋_GBK" w:cs="方正仿宋_GBK"/>
                <w:color w:val="000000" w:themeColor="text1"/>
                <w:kern w:val="2"/>
                <w:sz w:val="24"/>
                <w:szCs w:val="24"/>
                <w:lang w:eastAsia="en-US"/>
              </w:rPr>
              <w:t>）</w:t>
            </w:r>
          </w:p>
        </w:tc>
        <w:tc>
          <w:tcPr>
            <w:tcW w:w="1395" w:type="dxa"/>
            <w:vMerge w:val="restart"/>
            <w:vAlign w:val="center"/>
          </w:tcPr>
          <w:p>
            <w:pPr>
              <w:adjustRightInd/>
              <w:spacing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合成氨</w:t>
            </w:r>
          </w:p>
        </w:tc>
        <w:tc>
          <w:tcPr>
            <w:tcW w:w="2975"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优质无烟块煤</w:t>
            </w:r>
          </w:p>
        </w:tc>
        <w:tc>
          <w:tcPr>
            <w:tcW w:w="1159" w:type="dxa"/>
            <w:vMerge w:val="restart"/>
            <w:vAlign w:val="center"/>
          </w:tcPr>
          <w:p>
            <w:pPr>
              <w:adjustRightInd/>
              <w:spacing w:beforeLines="0" w:after="0" w:afterLines="0" w:line="320" w:lineRule="exact"/>
              <w:ind w:left="0" w:right="0" w:firstLine="28"/>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单位产品综合能耗</w:t>
            </w:r>
          </w:p>
        </w:tc>
        <w:tc>
          <w:tcPr>
            <w:tcW w:w="1223" w:type="dxa"/>
            <w:vMerge w:val="restart"/>
            <w:vAlign w:val="center"/>
          </w:tcPr>
          <w:p>
            <w:pPr>
              <w:adjustRightInd/>
              <w:spacing w:beforeLines="0" w:after="0" w:afterLines="0" w:line="320" w:lineRule="exact"/>
              <w:ind w:left="0" w:right="0" w:firstLine="28"/>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千克标准煤/吨</w:t>
            </w:r>
          </w:p>
        </w:tc>
        <w:tc>
          <w:tcPr>
            <w:tcW w:w="831"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1100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1350</w:t>
            </w:r>
          </w:p>
        </w:tc>
        <w:tc>
          <w:tcPr>
            <w:tcW w:w="1970" w:type="dxa"/>
            <w:vMerge w:val="restart"/>
            <w:vAlign w:val="center"/>
          </w:tcPr>
          <w:p>
            <w:pPr>
              <w:adjustRightInd/>
              <w:spacing w:before="0" w:beforeLines="0" w:after="0" w:afterLines="0" w:line="320" w:lineRule="exact"/>
              <w:ind w:left="0" w:hanging="538" w:hangingChars="228"/>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21344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2975"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非优质无烟块煤、型煤</w:t>
            </w:r>
          </w:p>
        </w:tc>
        <w:tc>
          <w:tcPr>
            <w:tcW w:w="1159"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1200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1520</w:t>
            </w:r>
          </w:p>
        </w:tc>
        <w:tc>
          <w:tcPr>
            <w:tcW w:w="197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2975"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粉煤（包括无烟粉煤、烟煤）</w:t>
            </w:r>
          </w:p>
        </w:tc>
        <w:tc>
          <w:tcPr>
            <w:tcW w:w="1159"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1350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1550</w:t>
            </w:r>
          </w:p>
        </w:tc>
        <w:tc>
          <w:tcPr>
            <w:tcW w:w="197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2975"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天然气</w:t>
            </w:r>
          </w:p>
        </w:tc>
        <w:tc>
          <w:tcPr>
            <w:tcW w:w="1159"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1000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1200</w:t>
            </w:r>
          </w:p>
        </w:tc>
        <w:tc>
          <w:tcPr>
            <w:tcW w:w="197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r>
    </w:tbl>
    <w:p>
      <w:pPr>
        <w:adjustRightInd/>
        <w:spacing w:after="0" w:line="259" w:lineRule="auto"/>
        <w:textAlignment w:val="auto"/>
        <w:rPr>
          <w:rFonts w:asciiTheme="minorHAnsi" w:hAnsiTheme="minorHAnsi" w:eastAsiaTheme="minorEastAsia" w:cstheme="minorBidi"/>
          <w:color w:val="000000" w:themeColor="text1"/>
          <w:kern w:val="2"/>
          <w:sz w:val="2"/>
          <w:szCs w:val="2"/>
        </w:rPr>
        <w:sectPr>
          <w:footerReference r:id="rId7" w:type="default"/>
          <w:pgSz w:w="16838" w:h="11905" w:orient="landscape"/>
          <w:pgMar w:top="1531" w:right="2098" w:bottom="1531" w:left="1984" w:header="850" w:footer="1417" w:gutter="0"/>
          <w:pgNumType w:fmt="decimal"/>
          <w:cols w:space="720" w:num="1"/>
          <w:rtlGutter w:val="0"/>
          <w:docGrid w:type="linesAndChars" w:linePitch="579" w:charSpace="-856"/>
        </w:sectPr>
      </w:pPr>
    </w:p>
    <w:tbl>
      <w:tblPr>
        <w:tblStyle w:val="8"/>
        <w:tblW w:w="147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492"/>
        <w:gridCol w:w="1016"/>
        <w:gridCol w:w="1320"/>
        <w:gridCol w:w="1528"/>
        <w:gridCol w:w="1395"/>
        <w:gridCol w:w="2911"/>
        <w:gridCol w:w="1223"/>
        <w:gridCol w:w="1223"/>
        <w:gridCol w:w="831"/>
        <w:gridCol w:w="831"/>
        <w:gridCol w:w="1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序</w:t>
            </w:r>
          </w:p>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号</w:t>
            </w:r>
          </w:p>
        </w:tc>
        <w:tc>
          <w:tcPr>
            <w:tcW w:w="3864" w:type="dxa"/>
            <w:gridSpan w:val="3"/>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国民经济行业分类及代码</w:t>
            </w:r>
          </w:p>
        </w:tc>
        <w:tc>
          <w:tcPr>
            <w:tcW w:w="4306" w:type="dxa"/>
            <w:gridSpan w:val="2"/>
            <w:vMerge w:val="restart"/>
            <w:vAlign w:val="center"/>
          </w:tcPr>
          <w:p>
            <w:pPr>
              <w:adjustRightInd/>
              <w:spacing w:before="0" w:beforeLines="0" w:after="0" w:afterLines="0" w:line="320" w:lineRule="exact"/>
              <w:ind w:left="0" w:righ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重点领域</w:t>
            </w:r>
          </w:p>
        </w:tc>
        <w:tc>
          <w:tcPr>
            <w:tcW w:w="1223"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指标名称</w:t>
            </w:r>
          </w:p>
        </w:tc>
        <w:tc>
          <w:tcPr>
            <w:tcW w:w="1223"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指标单位</w:t>
            </w:r>
          </w:p>
        </w:tc>
        <w:tc>
          <w:tcPr>
            <w:tcW w:w="831"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标杆</w:t>
            </w:r>
          </w:p>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水平</w:t>
            </w:r>
          </w:p>
        </w:tc>
        <w:tc>
          <w:tcPr>
            <w:tcW w:w="831"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基准</w:t>
            </w:r>
          </w:p>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水平</w:t>
            </w:r>
          </w:p>
        </w:tc>
        <w:tc>
          <w:tcPr>
            <w:tcW w:w="1970"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参考标准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c>
          <w:tcPr>
            <w:tcW w:w="1016" w:type="dxa"/>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大类</w:t>
            </w:r>
          </w:p>
        </w:tc>
        <w:tc>
          <w:tcPr>
            <w:tcW w:w="1320" w:type="dxa"/>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中类</w:t>
            </w:r>
          </w:p>
        </w:tc>
        <w:tc>
          <w:tcPr>
            <w:tcW w:w="1528" w:type="dxa"/>
            <w:vAlign w:val="center"/>
          </w:tcPr>
          <w:p>
            <w:pPr>
              <w:adjustRightInd/>
              <w:spacing w:before="0" w:beforeLines="0" w:after="0" w:afterLines="0" w:line="320" w:lineRule="exact"/>
              <w:ind w:left="0" w:righ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小类</w:t>
            </w:r>
          </w:p>
        </w:tc>
        <w:tc>
          <w:tcPr>
            <w:tcW w:w="4306" w:type="dxa"/>
            <w:gridSpan w:val="2"/>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c>
          <w:tcPr>
            <w:tcW w:w="831"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c>
          <w:tcPr>
            <w:tcW w:w="831"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c>
          <w:tcPr>
            <w:tcW w:w="1970"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2</w:t>
            </w:r>
          </w:p>
        </w:tc>
        <w:tc>
          <w:tcPr>
            <w:tcW w:w="1016" w:type="dxa"/>
            <w:vMerge w:val="restart"/>
            <w:vAlign w:val="center"/>
          </w:tcPr>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化学原料和化学制品制造业</w:t>
            </w:r>
          </w:p>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26</w:t>
            </w:r>
            <w:r>
              <w:rPr>
                <w:rFonts w:hint="eastAsia" w:ascii="方正仿宋_GBK" w:hAnsi="方正仿宋_GBK" w:eastAsia="方正仿宋_GBK" w:cs="方正仿宋_GBK"/>
                <w:color w:val="000000" w:themeColor="text1"/>
                <w:kern w:val="2"/>
                <w:sz w:val="24"/>
                <w:szCs w:val="24"/>
                <w:lang w:eastAsia="en-US"/>
              </w:rPr>
              <w:t>）</w:t>
            </w:r>
          </w:p>
        </w:tc>
        <w:tc>
          <w:tcPr>
            <w:tcW w:w="1320" w:type="dxa"/>
            <w:vMerge w:val="restart"/>
            <w:vAlign w:val="center"/>
          </w:tcPr>
          <w:p>
            <w:pPr>
              <w:adjustRightInd/>
              <w:spacing w:beforeLines="0" w:after="0" w:afterLines="0" w:line="320" w:lineRule="exact"/>
              <w:ind w:left="65" w:leftChars="18" w:right="0" w:hanging="9" w:firstLineChars="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肥料制造</w:t>
            </w:r>
          </w:p>
          <w:p>
            <w:pPr>
              <w:adjustRightInd/>
              <w:spacing w:before="0" w:beforeLines="0" w:after="0" w:afterLines="0" w:line="320" w:lineRule="exact"/>
              <w:ind w:left="65" w:leftChars="18" w:right="0" w:hanging="9" w:firstLineChars="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262</w:t>
            </w:r>
            <w:r>
              <w:rPr>
                <w:rFonts w:hint="eastAsia" w:ascii="方正仿宋_GBK" w:hAnsi="方正仿宋_GBK" w:eastAsia="方正仿宋_GBK" w:cs="方正仿宋_GBK"/>
                <w:color w:val="000000" w:themeColor="text1"/>
                <w:kern w:val="2"/>
                <w:sz w:val="24"/>
                <w:szCs w:val="24"/>
                <w:lang w:eastAsia="en-US"/>
              </w:rPr>
              <w:t>）</w:t>
            </w:r>
          </w:p>
        </w:tc>
        <w:tc>
          <w:tcPr>
            <w:tcW w:w="1528" w:type="dxa"/>
            <w:vMerge w:val="restart"/>
            <w:vAlign w:val="center"/>
          </w:tcPr>
          <w:p>
            <w:pPr>
              <w:adjustRightInd/>
              <w:spacing w:beforeLines="0" w:after="0" w:afterLines="0" w:line="320" w:lineRule="exact"/>
              <w:ind w:left="65" w:leftChars="18" w:right="0" w:hanging="9" w:firstLineChars="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磷肥制造</w:t>
            </w:r>
          </w:p>
          <w:p>
            <w:pPr>
              <w:adjustRightInd/>
              <w:spacing w:before="0" w:beforeLines="0" w:after="0" w:afterLines="0" w:line="320" w:lineRule="exact"/>
              <w:ind w:left="65" w:leftChars="18" w:right="0" w:hanging="9" w:firstLineChars="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2622</w:t>
            </w:r>
            <w:r>
              <w:rPr>
                <w:rFonts w:hint="eastAsia" w:ascii="方正仿宋_GBK" w:hAnsi="方正仿宋_GBK" w:eastAsia="方正仿宋_GBK" w:cs="方正仿宋_GBK"/>
                <w:color w:val="000000" w:themeColor="text1"/>
                <w:kern w:val="2"/>
                <w:sz w:val="24"/>
                <w:szCs w:val="24"/>
                <w:lang w:eastAsia="en-US"/>
              </w:rPr>
              <w:t>）</w:t>
            </w:r>
          </w:p>
        </w:tc>
        <w:tc>
          <w:tcPr>
            <w:tcW w:w="1395" w:type="dxa"/>
            <w:vMerge w:val="restart"/>
            <w:vAlign w:val="center"/>
          </w:tcPr>
          <w:p>
            <w:pPr>
              <w:adjustRightInd/>
              <w:spacing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磷酸一铵</w:t>
            </w:r>
          </w:p>
        </w:tc>
        <w:tc>
          <w:tcPr>
            <w:tcW w:w="2911" w:type="dxa"/>
            <w:vAlign w:val="center"/>
          </w:tcPr>
          <w:p>
            <w:pPr>
              <w:adjustRightInd/>
              <w:spacing w:before="0" w:beforeLines="0" w:after="0" w:afterLines="0" w:line="40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传统法（粒状）</w:t>
            </w:r>
          </w:p>
        </w:tc>
        <w:tc>
          <w:tcPr>
            <w:tcW w:w="1223" w:type="dxa"/>
            <w:vMerge w:val="restart"/>
            <w:vAlign w:val="center"/>
          </w:tcPr>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单位产品综合能耗</w:t>
            </w:r>
          </w:p>
        </w:tc>
        <w:tc>
          <w:tcPr>
            <w:tcW w:w="1223" w:type="dxa"/>
            <w:vMerge w:val="restart"/>
            <w:vAlign w:val="center"/>
          </w:tcPr>
          <w:p>
            <w:pPr>
              <w:adjustRightInd/>
              <w:spacing w:beforeLines="0" w:after="0" w:afterLines="0" w:line="320" w:lineRule="exact"/>
              <w:ind w:left="0" w:right="0" w:firstLine="28"/>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w:t>
            </w:r>
            <w:r>
              <w:rPr>
                <w:rFonts w:hint="eastAsia" w:ascii="方正仿宋_GBK" w:hAnsi="方正仿宋_GBK" w:eastAsia="方正仿宋_GBK" w:cs="方正仿宋_GBK"/>
                <w:color w:val="000000" w:themeColor="text1"/>
                <w:kern w:val="2"/>
                <w:position w:val="0"/>
                <w:sz w:val="24"/>
                <w:szCs w:val="24"/>
                <w:lang w:eastAsia="en-US"/>
              </w:rPr>
              <w:t>煤</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吨</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255</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275</w:t>
            </w:r>
          </w:p>
        </w:tc>
        <w:tc>
          <w:tcPr>
            <w:tcW w:w="1970" w:type="dxa"/>
            <w:vMerge w:val="restart"/>
            <w:vAlign w:val="center"/>
          </w:tcPr>
          <w:p>
            <w:pPr>
              <w:adjustRightInd/>
              <w:spacing w:beforeLines="0" w:after="0" w:afterLines="0" w:line="320" w:lineRule="exact"/>
              <w:ind w:left="471" w:leftChars="32" w:hanging="370" w:hangingChars="157"/>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29138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ind w:left="0" w:leftChars="0" w:right="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ind w:left="0" w:leftChars="0" w:right="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2911" w:type="dxa"/>
            <w:vAlign w:val="center"/>
          </w:tcPr>
          <w:p>
            <w:pPr>
              <w:adjustRightInd/>
              <w:spacing w:before="0" w:beforeLines="0" w:after="0" w:afterLines="0" w:line="40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传统法（粉状）</w:t>
            </w: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240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260</w:t>
            </w:r>
          </w:p>
        </w:tc>
        <w:tc>
          <w:tcPr>
            <w:tcW w:w="1970" w:type="dxa"/>
            <w:vMerge w:val="continue"/>
            <w:tcBorders>
              <w:top w:val="nil"/>
            </w:tcBorders>
            <w:vAlign w:val="center"/>
          </w:tcPr>
          <w:p>
            <w:pPr>
              <w:adjustRightInd/>
              <w:spacing w:beforeLines="0" w:after="0" w:afterLines="0" w:line="320" w:lineRule="exact"/>
              <w:ind w:left="0" w:leftChars="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ind w:left="0" w:leftChars="0" w:right="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ind w:left="0" w:leftChars="0" w:right="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2911" w:type="dxa"/>
            <w:vAlign w:val="center"/>
          </w:tcPr>
          <w:p>
            <w:pPr>
              <w:adjustRightInd/>
              <w:spacing w:before="0" w:beforeLines="0" w:after="0" w:afterLines="0" w:line="40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料浆法（粒状）</w:t>
            </w: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170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190</w:t>
            </w:r>
          </w:p>
        </w:tc>
        <w:tc>
          <w:tcPr>
            <w:tcW w:w="1970" w:type="dxa"/>
            <w:vMerge w:val="continue"/>
            <w:tcBorders>
              <w:top w:val="nil"/>
            </w:tcBorders>
            <w:vAlign w:val="center"/>
          </w:tcPr>
          <w:p>
            <w:pPr>
              <w:adjustRightInd/>
              <w:spacing w:beforeLines="0" w:after="0" w:afterLines="0" w:line="320" w:lineRule="exact"/>
              <w:ind w:left="0" w:leftChars="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ind w:left="0" w:leftChars="0" w:right="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ind w:left="0" w:leftChars="0" w:right="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2911" w:type="dxa"/>
            <w:vAlign w:val="center"/>
          </w:tcPr>
          <w:p>
            <w:pPr>
              <w:adjustRightInd/>
              <w:spacing w:before="0" w:beforeLines="0" w:after="0" w:afterLines="0" w:line="40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料浆法（粉状）</w:t>
            </w: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165</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185</w:t>
            </w:r>
          </w:p>
        </w:tc>
        <w:tc>
          <w:tcPr>
            <w:tcW w:w="1970" w:type="dxa"/>
            <w:vMerge w:val="continue"/>
            <w:tcBorders>
              <w:top w:val="nil"/>
            </w:tcBorders>
            <w:vAlign w:val="center"/>
          </w:tcPr>
          <w:p>
            <w:pPr>
              <w:adjustRightInd/>
              <w:spacing w:beforeLines="0" w:after="0" w:afterLines="0" w:line="320" w:lineRule="exact"/>
              <w:ind w:left="0" w:leftChars="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ind w:left="0" w:leftChars="0" w:right="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ind w:left="0" w:leftChars="0" w:right="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restart"/>
            <w:vAlign w:val="center"/>
          </w:tcPr>
          <w:p>
            <w:pPr>
              <w:adjustRightInd/>
              <w:spacing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磷酸二铵</w:t>
            </w:r>
          </w:p>
        </w:tc>
        <w:tc>
          <w:tcPr>
            <w:tcW w:w="2911" w:type="dxa"/>
            <w:vAlign w:val="center"/>
          </w:tcPr>
          <w:p>
            <w:pPr>
              <w:adjustRightInd/>
              <w:spacing w:before="0" w:beforeLines="0" w:after="0" w:afterLines="0" w:line="40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传统法（粒状）</w:t>
            </w:r>
          </w:p>
        </w:tc>
        <w:tc>
          <w:tcPr>
            <w:tcW w:w="1223" w:type="dxa"/>
            <w:vMerge w:val="restart"/>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单位产品综合能耗</w:t>
            </w:r>
          </w:p>
        </w:tc>
        <w:tc>
          <w:tcPr>
            <w:tcW w:w="1223" w:type="dxa"/>
            <w:vMerge w:val="restart"/>
            <w:vAlign w:val="center"/>
          </w:tcPr>
          <w:p>
            <w:pPr>
              <w:adjustRightInd/>
              <w:spacing w:before="0" w:beforeLines="0" w:after="0" w:afterLines="0" w:line="320" w:lineRule="exact"/>
              <w:ind w:left="0" w:right="0" w:firstLine="28"/>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w:t>
            </w:r>
            <w:r>
              <w:rPr>
                <w:rFonts w:hint="eastAsia" w:ascii="方正仿宋_GBK" w:hAnsi="方正仿宋_GBK" w:eastAsia="方正仿宋_GBK" w:cs="方正仿宋_GBK"/>
                <w:color w:val="000000" w:themeColor="text1"/>
                <w:kern w:val="2"/>
                <w:position w:val="0"/>
                <w:sz w:val="24"/>
                <w:szCs w:val="24"/>
                <w:lang w:eastAsia="en-US"/>
              </w:rPr>
              <w:t>煤</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吨</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250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275</w:t>
            </w:r>
          </w:p>
        </w:tc>
        <w:tc>
          <w:tcPr>
            <w:tcW w:w="1970" w:type="dxa"/>
            <w:vMerge w:val="restart"/>
            <w:vAlign w:val="center"/>
          </w:tcPr>
          <w:p>
            <w:pPr>
              <w:adjustRightInd/>
              <w:spacing w:beforeLines="0" w:after="0" w:afterLines="0" w:line="320" w:lineRule="exact"/>
              <w:ind w:left="471" w:leftChars="32" w:hanging="370" w:hangingChars="157"/>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29139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ind w:left="0" w:leftChars="0" w:right="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ind w:left="0" w:leftChars="0" w:right="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2911" w:type="dxa"/>
            <w:vAlign w:val="center"/>
          </w:tcPr>
          <w:p>
            <w:pPr>
              <w:adjustRightInd/>
              <w:spacing w:before="0" w:beforeLines="0" w:after="0" w:afterLines="0" w:line="40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料浆法（粒状）</w:t>
            </w: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185</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200</w:t>
            </w:r>
          </w:p>
        </w:tc>
        <w:tc>
          <w:tcPr>
            <w:tcW w:w="1970" w:type="dxa"/>
            <w:vMerge w:val="continue"/>
            <w:tcBorders>
              <w:top w:val="nil"/>
            </w:tcBorders>
            <w:vAlign w:val="center"/>
          </w:tcPr>
          <w:p>
            <w:pPr>
              <w:adjustRightInd/>
              <w:spacing w:beforeLines="0" w:after="0" w:afterLines="0" w:line="320" w:lineRule="exact"/>
              <w:ind w:left="0" w:leftChars="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3</w:t>
            </w:r>
          </w:p>
        </w:tc>
        <w:tc>
          <w:tcPr>
            <w:tcW w:w="1016" w:type="dxa"/>
            <w:vMerge w:val="restart"/>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非金属矿物制品业</w:t>
            </w:r>
          </w:p>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30</w:t>
            </w:r>
            <w:r>
              <w:rPr>
                <w:rFonts w:hint="eastAsia" w:ascii="方正仿宋_GBK" w:hAnsi="方正仿宋_GBK" w:eastAsia="方正仿宋_GBK" w:cs="方正仿宋_GBK"/>
                <w:color w:val="000000" w:themeColor="text1"/>
                <w:kern w:val="2"/>
                <w:sz w:val="24"/>
                <w:szCs w:val="24"/>
                <w:lang w:eastAsia="en-US"/>
              </w:rPr>
              <w:t>）</w:t>
            </w:r>
          </w:p>
        </w:tc>
        <w:tc>
          <w:tcPr>
            <w:tcW w:w="1320" w:type="dxa"/>
            <w:vAlign w:val="center"/>
          </w:tcPr>
          <w:p>
            <w:pPr>
              <w:adjustRightInd/>
              <w:spacing w:before="0" w:beforeLines="0" w:after="0" w:afterLines="0" w:line="320" w:lineRule="exact"/>
              <w:ind w:left="65" w:leftChars="18" w:right="0" w:hanging="9" w:firstLineChars="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水泥、石灰和石膏制</w:t>
            </w:r>
            <w:r>
              <w:rPr>
                <w:rFonts w:hint="eastAsia" w:ascii="方正仿宋_GBK" w:hAnsi="方正仿宋_GBK" w:eastAsia="方正仿宋_GBK" w:cs="方正仿宋_GBK"/>
                <w:color w:val="000000" w:themeColor="text1"/>
                <w:kern w:val="2"/>
                <w:position w:val="0"/>
                <w:sz w:val="24"/>
                <w:szCs w:val="24"/>
                <w:lang w:eastAsia="en-US"/>
              </w:rPr>
              <w:t>造（</w:t>
            </w:r>
            <w:r>
              <w:rPr>
                <w:rFonts w:hint="default" w:ascii="Times New Roman" w:hAnsi="Times New Roman" w:eastAsia="方正仿宋_GBK" w:cs="Times New Roman"/>
                <w:color w:val="000000" w:themeColor="text1"/>
                <w:kern w:val="2"/>
                <w:sz w:val="24"/>
                <w:szCs w:val="24"/>
                <w:lang w:eastAsia="en-US"/>
              </w:rPr>
              <w:t>301</w:t>
            </w:r>
            <w:r>
              <w:rPr>
                <w:rFonts w:hint="eastAsia" w:ascii="方正仿宋_GBK" w:hAnsi="方正仿宋_GBK" w:eastAsia="方正仿宋_GBK" w:cs="方正仿宋_GBK"/>
                <w:color w:val="000000" w:themeColor="text1"/>
                <w:kern w:val="2"/>
                <w:position w:val="0"/>
                <w:sz w:val="24"/>
                <w:szCs w:val="24"/>
                <w:lang w:eastAsia="en-US"/>
              </w:rPr>
              <w:t>）</w:t>
            </w:r>
          </w:p>
        </w:tc>
        <w:tc>
          <w:tcPr>
            <w:tcW w:w="1528" w:type="dxa"/>
            <w:vAlign w:val="center"/>
          </w:tcPr>
          <w:p>
            <w:pPr>
              <w:adjustRightInd/>
              <w:spacing w:before="0" w:beforeLines="0" w:after="0" w:afterLines="0" w:line="320" w:lineRule="exact"/>
              <w:ind w:left="65" w:leftChars="18" w:right="0" w:hanging="9" w:firstLineChars="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水泥制造</w:t>
            </w:r>
          </w:p>
          <w:p>
            <w:pPr>
              <w:adjustRightInd/>
              <w:spacing w:before="0" w:beforeLines="0" w:after="0" w:afterLines="0" w:line="320" w:lineRule="exact"/>
              <w:ind w:left="65" w:leftChars="18" w:right="0" w:hanging="9" w:firstLineChars="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w:t>
            </w:r>
            <w:r>
              <w:rPr>
                <w:rFonts w:hint="default" w:ascii="Times New Roman" w:hAnsi="Times New Roman" w:eastAsia="方正仿宋_GBK" w:cs="Times New Roman"/>
                <w:color w:val="000000" w:themeColor="text1"/>
                <w:kern w:val="2"/>
                <w:sz w:val="24"/>
                <w:szCs w:val="24"/>
                <w:lang w:eastAsia="en-US"/>
              </w:rPr>
              <w:t>3011</w:t>
            </w:r>
            <w:r>
              <w:rPr>
                <w:rFonts w:hint="eastAsia" w:ascii="方正仿宋_GBK" w:hAnsi="方正仿宋_GBK" w:eastAsia="方正仿宋_GBK" w:cs="方正仿宋_GBK"/>
                <w:color w:val="000000" w:themeColor="text1"/>
                <w:kern w:val="2"/>
                <w:position w:val="0"/>
                <w:sz w:val="24"/>
                <w:szCs w:val="24"/>
                <w:lang w:eastAsia="en-US"/>
              </w:rPr>
              <w:t>）</w:t>
            </w:r>
          </w:p>
        </w:tc>
        <w:tc>
          <w:tcPr>
            <w:tcW w:w="4306" w:type="dxa"/>
            <w:gridSpan w:val="2"/>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水泥熟料</w:t>
            </w:r>
          </w:p>
        </w:tc>
        <w:tc>
          <w:tcPr>
            <w:tcW w:w="1223"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单位产品综合能耗</w:t>
            </w:r>
          </w:p>
        </w:tc>
        <w:tc>
          <w:tcPr>
            <w:tcW w:w="1223" w:type="dxa"/>
            <w:vAlign w:val="center"/>
          </w:tcPr>
          <w:p>
            <w:pPr>
              <w:adjustRightInd/>
              <w:spacing w:before="0" w:beforeLines="0" w:after="0" w:afterLines="0" w:line="320" w:lineRule="exact"/>
              <w:ind w:left="0" w:right="0" w:firstLine="28"/>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w:t>
            </w:r>
            <w:r>
              <w:rPr>
                <w:rFonts w:hint="eastAsia" w:ascii="方正仿宋_GBK" w:hAnsi="方正仿宋_GBK" w:eastAsia="方正仿宋_GBK" w:cs="方正仿宋_GBK"/>
                <w:color w:val="000000" w:themeColor="text1"/>
                <w:kern w:val="2"/>
                <w:position w:val="0"/>
                <w:sz w:val="24"/>
                <w:szCs w:val="24"/>
                <w:lang w:eastAsia="en-US"/>
              </w:rPr>
              <w:t>煤</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吨</w:t>
            </w:r>
          </w:p>
        </w:tc>
        <w:tc>
          <w:tcPr>
            <w:tcW w:w="831" w:type="dxa"/>
            <w:vAlign w:val="center"/>
          </w:tcPr>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100</w:t>
            </w:r>
          </w:p>
        </w:tc>
        <w:tc>
          <w:tcPr>
            <w:tcW w:w="831" w:type="dxa"/>
            <w:vAlign w:val="center"/>
          </w:tcPr>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117</w:t>
            </w:r>
          </w:p>
        </w:tc>
        <w:tc>
          <w:tcPr>
            <w:tcW w:w="1970" w:type="dxa"/>
            <w:vAlign w:val="center"/>
          </w:tcPr>
          <w:p>
            <w:pPr>
              <w:adjustRightInd/>
              <w:spacing w:beforeLines="0" w:after="0" w:afterLines="0" w:line="320" w:lineRule="exact"/>
              <w:ind w:left="471" w:leftChars="32" w:hanging="370" w:hangingChars="157"/>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16780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restart"/>
            <w:vAlign w:val="center"/>
          </w:tcPr>
          <w:p>
            <w:pPr>
              <w:adjustRightInd/>
              <w:spacing w:beforeLines="0" w:after="0" w:afterLines="0" w:line="320" w:lineRule="exact"/>
              <w:ind w:left="65" w:leftChars="18" w:right="0" w:hanging="9" w:firstLineChars="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玻璃制造</w:t>
            </w:r>
          </w:p>
          <w:p>
            <w:pPr>
              <w:adjustRightInd/>
              <w:spacing w:before="0" w:beforeLines="0" w:after="0" w:afterLines="0" w:line="320" w:lineRule="exact"/>
              <w:ind w:left="65" w:leftChars="18" w:right="0" w:hanging="9" w:firstLineChars="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304</w:t>
            </w:r>
            <w:r>
              <w:rPr>
                <w:rFonts w:hint="eastAsia" w:ascii="方正仿宋_GBK" w:hAnsi="方正仿宋_GBK" w:eastAsia="方正仿宋_GBK" w:cs="方正仿宋_GBK"/>
                <w:color w:val="000000" w:themeColor="text1"/>
                <w:kern w:val="2"/>
                <w:sz w:val="24"/>
                <w:szCs w:val="24"/>
                <w:lang w:eastAsia="en-US"/>
              </w:rPr>
              <w:t>）</w:t>
            </w:r>
          </w:p>
        </w:tc>
        <w:tc>
          <w:tcPr>
            <w:tcW w:w="1528" w:type="dxa"/>
            <w:vMerge w:val="restart"/>
            <w:vAlign w:val="center"/>
          </w:tcPr>
          <w:p>
            <w:pPr>
              <w:adjustRightInd/>
              <w:spacing w:beforeLines="0" w:after="0" w:afterLines="0" w:line="320" w:lineRule="exact"/>
              <w:ind w:left="65" w:leftChars="18" w:right="0" w:hanging="9" w:firstLineChars="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平板玻璃制造（</w:t>
            </w:r>
            <w:r>
              <w:rPr>
                <w:rFonts w:hint="default" w:ascii="Times New Roman" w:hAnsi="Times New Roman" w:eastAsia="方正仿宋_GBK" w:cs="Times New Roman"/>
                <w:color w:val="000000" w:themeColor="text1"/>
                <w:kern w:val="2"/>
                <w:sz w:val="24"/>
                <w:szCs w:val="24"/>
                <w:lang w:eastAsia="en-US"/>
              </w:rPr>
              <w:t>3041</w:t>
            </w:r>
            <w:r>
              <w:rPr>
                <w:rFonts w:hint="eastAsia" w:ascii="方正仿宋_GBK" w:hAnsi="方正仿宋_GBK" w:eastAsia="方正仿宋_GBK" w:cs="方正仿宋_GBK"/>
                <w:color w:val="000000" w:themeColor="text1"/>
                <w:kern w:val="2"/>
                <w:sz w:val="24"/>
                <w:szCs w:val="24"/>
                <w:lang w:eastAsia="en-US"/>
              </w:rPr>
              <w:t>）</w:t>
            </w:r>
          </w:p>
        </w:tc>
        <w:tc>
          <w:tcPr>
            <w:tcW w:w="4306" w:type="dxa"/>
            <w:gridSpan w:val="2"/>
            <w:vAlign w:val="center"/>
          </w:tcPr>
          <w:p>
            <w:pPr>
              <w:adjustRightInd/>
              <w:spacing w:beforeLines="0" w:after="0" w:afterLines="0" w:line="40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平板玻璃（生产能力</w:t>
            </w:r>
            <w:r>
              <w:rPr>
                <w:rFonts w:hint="eastAsia" w:ascii="方正仿宋_GBK" w:hAnsi="方正仿宋_GBK" w:eastAsia="方正仿宋_GBK" w:cs="方正仿宋_GBK"/>
                <w:color w:val="000000" w:themeColor="text1"/>
                <w:kern w:val="2"/>
                <w:sz w:val="24"/>
                <w:szCs w:val="24"/>
                <w:lang w:eastAsia="en-US"/>
              </w:rPr>
              <w:t>&gt;</w:t>
            </w:r>
            <w:r>
              <w:rPr>
                <w:rFonts w:hint="default" w:ascii="Times New Roman" w:hAnsi="Times New Roman" w:eastAsia="方正仿宋_GBK" w:cs="Times New Roman"/>
                <w:color w:val="000000" w:themeColor="text1"/>
                <w:kern w:val="2"/>
                <w:sz w:val="24"/>
                <w:szCs w:val="24"/>
                <w:lang w:eastAsia="en-US"/>
              </w:rPr>
              <w:t>800</w:t>
            </w:r>
            <w:r>
              <w:rPr>
                <w:rFonts w:hint="eastAsia" w:ascii="方正仿宋_GBK" w:hAnsi="方正仿宋_GBK" w:eastAsia="方正仿宋_GBK" w:cs="方正仿宋_GBK"/>
                <w:color w:val="000000" w:themeColor="text1"/>
                <w:kern w:val="2"/>
                <w:position w:val="0"/>
                <w:sz w:val="24"/>
                <w:szCs w:val="24"/>
                <w:lang w:eastAsia="en-US"/>
              </w:rPr>
              <w:t>吨</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天）</w:t>
            </w:r>
          </w:p>
        </w:tc>
        <w:tc>
          <w:tcPr>
            <w:tcW w:w="1223" w:type="dxa"/>
            <w:vMerge w:val="restart"/>
            <w:vAlign w:val="center"/>
          </w:tcPr>
          <w:p>
            <w:pPr>
              <w:adjustRightInd/>
              <w:spacing w:beforeLines="0" w:after="0" w:afterLines="0" w:line="320" w:lineRule="exact"/>
              <w:ind w:left="0" w:right="0" w:firstLine="28"/>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单位产品能耗</w:t>
            </w:r>
          </w:p>
        </w:tc>
        <w:tc>
          <w:tcPr>
            <w:tcW w:w="1223" w:type="dxa"/>
            <w:vMerge w:val="restart"/>
            <w:vAlign w:val="center"/>
          </w:tcPr>
          <w:p>
            <w:pPr>
              <w:adjustRightInd/>
              <w:spacing w:beforeLines="0" w:after="0" w:afterLines="0" w:line="320" w:lineRule="exact"/>
              <w:ind w:left="0" w:right="0" w:firstLine="28"/>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w:t>
            </w:r>
            <w:r>
              <w:rPr>
                <w:rFonts w:hint="eastAsia" w:ascii="方正仿宋_GBK" w:hAnsi="方正仿宋_GBK" w:eastAsia="方正仿宋_GBK" w:cs="方正仿宋_GBK"/>
                <w:color w:val="000000" w:themeColor="text1"/>
                <w:kern w:val="2"/>
                <w:position w:val="0"/>
                <w:sz w:val="24"/>
                <w:szCs w:val="24"/>
                <w:lang w:eastAsia="en-US"/>
              </w:rPr>
              <w:t>煤</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重量箱</w:t>
            </w:r>
          </w:p>
        </w:tc>
        <w:tc>
          <w:tcPr>
            <w:tcW w:w="831" w:type="dxa"/>
            <w:vAlign w:val="center"/>
          </w:tcPr>
          <w:p>
            <w:pPr>
              <w:adjustRightInd/>
              <w:spacing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8</w:t>
            </w:r>
          </w:p>
        </w:tc>
        <w:tc>
          <w:tcPr>
            <w:tcW w:w="831" w:type="dxa"/>
            <w:vAlign w:val="center"/>
          </w:tcPr>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12</w:t>
            </w:r>
          </w:p>
        </w:tc>
        <w:tc>
          <w:tcPr>
            <w:tcW w:w="1970" w:type="dxa"/>
            <w:vMerge w:val="restart"/>
            <w:vAlign w:val="center"/>
          </w:tcPr>
          <w:p>
            <w:pPr>
              <w:adjustRightInd/>
              <w:spacing w:beforeLines="0" w:after="0" w:afterLines="0" w:line="320" w:lineRule="exact"/>
              <w:ind w:left="471" w:leftChars="32" w:right="0" w:hanging="370" w:hangingChars="157"/>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21340</w:t>
            </w:r>
          </w:p>
          <w:p>
            <w:pPr>
              <w:adjustRightInd/>
              <w:spacing w:before="0" w:beforeLines="0" w:after="0" w:afterLines="0" w:line="320" w:lineRule="exact"/>
              <w:ind w:left="471" w:leftChars="32" w:right="0" w:hanging="370" w:hangingChars="157"/>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注：汽车用平板玻璃能耗修正系数参照此标准。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ind w:left="0" w:leftChars="0" w:right="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ind w:left="0" w:leftChars="0" w:right="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c>
          <w:tcPr>
            <w:tcW w:w="4306" w:type="dxa"/>
            <w:gridSpan w:val="2"/>
            <w:vAlign w:val="center"/>
          </w:tcPr>
          <w:p>
            <w:pPr>
              <w:adjustRightInd/>
              <w:spacing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平板玻璃（</w:t>
            </w:r>
            <w:r>
              <w:rPr>
                <w:rFonts w:hint="default" w:ascii="Times New Roman" w:hAnsi="Times New Roman" w:eastAsia="方正仿宋_GBK" w:cs="Times New Roman"/>
                <w:color w:val="000000" w:themeColor="text1"/>
                <w:kern w:val="2"/>
                <w:sz w:val="24"/>
                <w:szCs w:val="24"/>
                <w:lang w:eastAsia="en-US"/>
              </w:rPr>
              <w:t>500</w:t>
            </w:r>
            <w:r>
              <w:rPr>
                <w:rFonts w:hint="eastAsia" w:ascii="方正仿宋_GBK" w:hAnsi="方正仿宋_GBK" w:eastAsia="方正仿宋_GBK" w:cs="方正仿宋_GBK"/>
                <w:color w:val="000000" w:themeColor="text1"/>
                <w:kern w:val="2"/>
                <w:position w:val="0"/>
                <w:sz w:val="24"/>
                <w:szCs w:val="24"/>
                <w:lang w:eastAsia="en-US"/>
              </w:rPr>
              <w:t>≤生产能力≤</w:t>
            </w:r>
            <w:r>
              <w:rPr>
                <w:rFonts w:hint="default" w:ascii="Times New Roman" w:hAnsi="Times New Roman" w:eastAsia="方正仿宋_GBK" w:cs="Times New Roman"/>
                <w:color w:val="000000" w:themeColor="text1"/>
                <w:kern w:val="2"/>
                <w:sz w:val="24"/>
                <w:szCs w:val="24"/>
                <w:lang w:eastAsia="en-US"/>
              </w:rPr>
              <w:t>800</w:t>
            </w:r>
            <w:r>
              <w:rPr>
                <w:rFonts w:hint="eastAsia" w:ascii="方正仿宋_GBK" w:hAnsi="方正仿宋_GBK" w:eastAsia="方正仿宋_GBK" w:cs="方正仿宋_GBK"/>
                <w:color w:val="000000" w:themeColor="text1"/>
                <w:kern w:val="2"/>
                <w:position w:val="0"/>
                <w:sz w:val="24"/>
                <w:szCs w:val="24"/>
                <w:lang w:eastAsia="en-US"/>
              </w:rPr>
              <w:t>吨</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天）</w:t>
            </w: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9</w:t>
            </w: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5</w:t>
            </w:r>
          </w:p>
        </w:tc>
        <w:tc>
          <w:tcPr>
            <w:tcW w:w="831" w:type="dxa"/>
            <w:vAlign w:val="center"/>
          </w:tcPr>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13</w:t>
            </w: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5</w:t>
            </w:r>
          </w:p>
        </w:tc>
        <w:tc>
          <w:tcPr>
            <w:tcW w:w="1970" w:type="dxa"/>
            <w:vMerge w:val="continue"/>
            <w:tcBorders>
              <w:top w:val="nil"/>
            </w:tcBorders>
            <w:vAlign w:val="center"/>
          </w:tcPr>
          <w:p>
            <w:pPr>
              <w:adjustRightInd/>
              <w:spacing w:beforeLines="0" w:after="0" w:afterLines="0" w:line="320" w:lineRule="exact"/>
              <w:ind w:left="0" w:leftChars="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restart"/>
            <w:vAlign w:val="center"/>
          </w:tcPr>
          <w:p>
            <w:pPr>
              <w:adjustRightInd/>
              <w:spacing w:before="0" w:beforeLines="0" w:after="0" w:afterLines="0" w:line="320" w:lineRule="exact"/>
              <w:ind w:left="65" w:leftChars="18" w:right="0" w:hanging="9" w:firstLineChars="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陶瓷制品制造（</w:t>
            </w:r>
            <w:r>
              <w:rPr>
                <w:rFonts w:hint="default" w:ascii="Times New Roman" w:hAnsi="Times New Roman" w:eastAsia="方正仿宋_GBK" w:cs="Times New Roman"/>
                <w:color w:val="000000" w:themeColor="text1"/>
                <w:kern w:val="2"/>
                <w:sz w:val="24"/>
                <w:szCs w:val="24"/>
                <w:lang w:eastAsia="en-US"/>
              </w:rPr>
              <w:t>307</w:t>
            </w:r>
            <w:r>
              <w:rPr>
                <w:rFonts w:hint="eastAsia" w:ascii="方正仿宋_GBK" w:hAnsi="方正仿宋_GBK" w:eastAsia="方正仿宋_GBK" w:cs="方正仿宋_GBK"/>
                <w:color w:val="000000" w:themeColor="text1"/>
                <w:kern w:val="2"/>
                <w:sz w:val="24"/>
                <w:szCs w:val="24"/>
                <w:lang w:eastAsia="en-US"/>
              </w:rPr>
              <w:t>）</w:t>
            </w:r>
          </w:p>
        </w:tc>
        <w:tc>
          <w:tcPr>
            <w:tcW w:w="1528" w:type="dxa"/>
            <w:vMerge w:val="restart"/>
            <w:vAlign w:val="center"/>
          </w:tcPr>
          <w:p>
            <w:pPr>
              <w:adjustRightInd/>
              <w:spacing w:before="0" w:beforeLines="0" w:after="0" w:afterLines="0" w:line="320" w:lineRule="exact"/>
              <w:ind w:left="65" w:leftChars="18" w:right="0" w:hanging="9" w:firstLineChars="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建筑陶瓷制品制造</w:t>
            </w:r>
          </w:p>
          <w:p>
            <w:pPr>
              <w:adjustRightInd/>
              <w:spacing w:before="0" w:beforeLines="0" w:after="0" w:afterLines="0" w:line="320" w:lineRule="exact"/>
              <w:ind w:left="65" w:leftChars="18" w:right="0" w:hanging="9" w:firstLineChars="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3071</w:t>
            </w:r>
            <w:r>
              <w:rPr>
                <w:rFonts w:hint="eastAsia" w:ascii="方正仿宋_GBK" w:hAnsi="方正仿宋_GBK" w:eastAsia="方正仿宋_GBK" w:cs="方正仿宋_GBK"/>
                <w:color w:val="000000" w:themeColor="text1"/>
                <w:kern w:val="2"/>
                <w:sz w:val="24"/>
                <w:szCs w:val="24"/>
                <w:lang w:eastAsia="en-US"/>
              </w:rPr>
              <w:t>）</w:t>
            </w:r>
          </w:p>
        </w:tc>
        <w:tc>
          <w:tcPr>
            <w:tcW w:w="4306" w:type="dxa"/>
            <w:gridSpan w:val="2"/>
            <w:vAlign w:val="center"/>
          </w:tcPr>
          <w:p>
            <w:pPr>
              <w:adjustRightInd/>
              <w:spacing w:before="0" w:beforeLines="0" w:after="0" w:afterLines="0" w:line="40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吸水率≤</w:t>
            </w:r>
            <w:r>
              <w:rPr>
                <w:rFonts w:hint="default" w:ascii="Times New Roman" w:hAnsi="Times New Roman" w:eastAsia="方正仿宋_GBK" w:cs="Times New Roman"/>
                <w:color w:val="000000" w:themeColor="text1"/>
                <w:kern w:val="2"/>
                <w:sz w:val="24"/>
                <w:szCs w:val="24"/>
                <w:lang w:eastAsia="en-US"/>
              </w:rPr>
              <w:t>0</w:t>
            </w: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5%</w:t>
            </w:r>
            <w:r>
              <w:rPr>
                <w:rFonts w:hint="eastAsia" w:ascii="方正仿宋_GBK" w:hAnsi="方正仿宋_GBK" w:eastAsia="方正仿宋_GBK" w:cs="方正仿宋_GBK"/>
                <w:color w:val="000000" w:themeColor="text1"/>
                <w:kern w:val="2"/>
                <w:position w:val="0"/>
                <w:sz w:val="24"/>
                <w:szCs w:val="24"/>
                <w:lang w:eastAsia="en-US"/>
              </w:rPr>
              <w:t>的陶瓷砖</w:t>
            </w:r>
          </w:p>
        </w:tc>
        <w:tc>
          <w:tcPr>
            <w:tcW w:w="1223" w:type="dxa"/>
            <w:vMerge w:val="restart"/>
            <w:vAlign w:val="center"/>
          </w:tcPr>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单位产品综合能耗</w:t>
            </w:r>
          </w:p>
        </w:tc>
        <w:tc>
          <w:tcPr>
            <w:tcW w:w="1223" w:type="dxa"/>
            <w:vMerge w:val="restart"/>
            <w:vAlign w:val="center"/>
          </w:tcPr>
          <w:p>
            <w:pPr>
              <w:adjustRightInd/>
              <w:spacing w:beforeLines="0" w:after="0" w:afterLines="0" w:line="320" w:lineRule="exact"/>
              <w:ind w:left="0" w:right="0" w:firstLine="28"/>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w:t>
            </w:r>
            <w:r>
              <w:rPr>
                <w:rFonts w:hint="eastAsia" w:ascii="方正仿宋_GBK" w:hAnsi="方正仿宋_GBK" w:eastAsia="方正仿宋_GBK" w:cs="方正仿宋_GBK"/>
                <w:color w:val="000000" w:themeColor="text1"/>
                <w:kern w:val="2"/>
                <w:position w:val="0"/>
                <w:sz w:val="24"/>
                <w:szCs w:val="24"/>
                <w:lang w:eastAsia="en-US"/>
              </w:rPr>
              <w:t>煤</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平方米</w:t>
            </w:r>
          </w:p>
        </w:tc>
        <w:tc>
          <w:tcPr>
            <w:tcW w:w="831"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4</w:t>
            </w:r>
          </w:p>
        </w:tc>
        <w:tc>
          <w:tcPr>
            <w:tcW w:w="831"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7</w:t>
            </w:r>
          </w:p>
        </w:tc>
        <w:tc>
          <w:tcPr>
            <w:tcW w:w="1970" w:type="dxa"/>
            <w:vMerge w:val="restart"/>
            <w:vAlign w:val="center"/>
          </w:tcPr>
          <w:p>
            <w:pPr>
              <w:adjustRightInd/>
              <w:spacing w:before="0" w:beforeLines="0" w:after="0" w:afterLines="0" w:line="320" w:lineRule="exact"/>
              <w:ind w:left="471" w:leftChars="32" w:hanging="370" w:hangingChars="157"/>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21252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4306" w:type="dxa"/>
            <w:gridSpan w:val="2"/>
            <w:vAlign w:val="center"/>
          </w:tcPr>
          <w:p>
            <w:pPr>
              <w:adjustRightInd/>
              <w:spacing w:before="0" w:beforeLines="0" w:after="0" w:afterLines="0" w:line="40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0</w:t>
            </w: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5%</w:t>
            </w:r>
            <w:r>
              <w:rPr>
                <w:rFonts w:hint="eastAsia" w:ascii="方正仿宋_GBK" w:hAnsi="方正仿宋_GBK" w:eastAsia="方正仿宋_GBK" w:cs="方正仿宋_GBK"/>
                <w:color w:val="000000" w:themeColor="text1"/>
                <w:kern w:val="2"/>
                <w:position w:val="0"/>
                <w:sz w:val="24"/>
                <w:szCs w:val="24"/>
                <w:lang w:eastAsia="en-US"/>
              </w:rPr>
              <w:t>＜吸水率≤</w:t>
            </w:r>
            <w:r>
              <w:rPr>
                <w:rFonts w:hint="default" w:ascii="Times New Roman" w:hAnsi="Times New Roman" w:eastAsia="方正仿宋_GBK" w:cs="Times New Roman"/>
                <w:color w:val="000000" w:themeColor="text1"/>
                <w:kern w:val="2"/>
                <w:sz w:val="24"/>
                <w:szCs w:val="24"/>
                <w:lang w:eastAsia="en-US"/>
              </w:rPr>
              <w:t>10%</w:t>
            </w:r>
            <w:r>
              <w:rPr>
                <w:rFonts w:hint="eastAsia" w:ascii="方正仿宋_GBK" w:hAnsi="方正仿宋_GBK" w:eastAsia="方正仿宋_GBK" w:cs="方正仿宋_GBK"/>
                <w:color w:val="000000" w:themeColor="text1"/>
                <w:kern w:val="2"/>
                <w:position w:val="0"/>
                <w:sz w:val="24"/>
                <w:szCs w:val="24"/>
                <w:lang w:eastAsia="en-US"/>
              </w:rPr>
              <w:t>的陶瓷砖</w:t>
            </w: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3</w:t>
            </w: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7</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4</w:t>
            </w: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6</w:t>
            </w:r>
          </w:p>
        </w:tc>
        <w:tc>
          <w:tcPr>
            <w:tcW w:w="197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4306" w:type="dxa"/>
            <w:gridSpan w:val="2"/>
            <w:vAlign w:val="center"/>
          </w:tcPr>
          <w:p>
            <w:pPr>
              <w:adjustRightInd/>
              <w:spacing w:before="0" w:beforeLines="0" w:after="0" w:afterLines="0" w:line="40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吸水率＞</w:t>
            </w:r>
            <w:r>
              <w:rPr>
                <w:rFonts w:hint="default" w:ascii="Times New Roman" w:hAnsi="Times New Roman" w:eastAsia="方正仿宋_GBK" w:cs="Times New Roman"/>
                <w:color w:val="000000" w:themeColor="text1"/>
                <w:kern w:val="2"/>
                <w:sz w:val="24"/>
                <w:szCs w:val="24"/>
                <w:lang w:eastAsia="en-US"/>
              </w:rPr>
              <w:t>10%</w:t>
            </w:r>
            <w:r>
              <w:rPr>
                <w:rFonts w:hint="eastAsia" w:ascii="方正仿宋_GBK" w:hAnsi="方正仿宋_GBK" w:eastAsia="方正仿宋_GBK" w:cs="方正仿宋_GBK"/>
                <w:color w:val="000000" w:themeColor="text1"/>
                <w:kern w:val="2"/>
                <w:position w:val="0"/>
                <w:sz w:val="24"/>
                <w:szCs w:val="24"/>
                <w:lang w:eastAsia="en-US"/>
              </w:rPr>
              <w:t>的陶瓷砖</w:t>
            </w: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3</w:t>
            </w: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5</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4</w:t>
            </w: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5</w:t>
            </w:r>
          </w:p>
        </w:tc>
        <w:tc>
          <w:tcPr>
            <w:tcW w:w="197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Align w:val="center"/>
          </w:tcPr>
          <w:p>
            <w:pPr>
              <w:adjustRightInd/>
              <w:spacing w:before="0" w:beforeLines="0" w:after="0" w:afterLines="0" w:line="320" w:lineRule="exact"/>
              <w:ind w:left="0" w:right="0" w:hanging="12"/>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卫生陶瓷制品制造</w:t>
            </w:r>
          </w:p>
          <w:p>
            <w:pPr>
              <w:adjustRightInd/>
              <w:spacing w:before="0" w:beforeLines="0" w:after="0" w:afterLines="0" w:line="320" w:lineRule="exact"/>
              <w:ind w:left="120" w:leftChars="38" w:firstLine="59" w:firstLineChars="25"/>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3072</w:t>
            </w:r>
            <w:r>
              <w:rPr>
                <w:rFonts w:hint="eastAsia" w:ascii="方正仿宋_GBK" w:hAnsi="方正仿宋_GBK" w:eastAsia="方正仿宋_GBK" w:cs="方正仿宋_GBK"/>
                <w:color w:val="000000" w:themeColor="text1"/>
                <w:kern w:val="2"/>
                <w:sz w:val="24"/>
                <w:szCs w:val="24"/>
                <w:lang w:eastAsia="en-US"/>
              </w:rPr>
              <w:t>）</w:t>
            </w:r>
          </w:p>
        </w:tc>
        <w:tc>
          <w:tcPr>
            <w:tcW w:w="4306" w:type="dxa"/>
            <w:gridSpan w:val="2"/>
            <w:vAlign w:val="center"/>
          </w:tcPr>
          <w:p>
            <w:pPr>
              <w:adjustRightInd/>
              <w:spacing w:before="0" w:beforeLines="0" w:after="0" w:afterLines="0" w:line="320" w:lineRule="exact"/>
              <w:jc w:val="center"/>
              <w:textAlignment w:val="auto"/>
              <w:rPr>
                <w:rFonts w:hint="eastAsia" w:ascii="方正仿宋_GBK" w:hAnsi="方正仿宋_GBK" w:cs="方正仿宋_GBK"/>
                <w:color w:val="000000" w:themeColor="text1"/>
                <w:kern w:val="2"/>
                <w:sz w:val="24"/>
                <w:szCs w:val="24"/>
                <w:lang w:eastAsia="en-US"/>
              </w:rPr>
            </w:pPr>
          </w:p>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卫生陶瓷</w:t>
            </w:r>
          </w:p>
        </w:tc>
        <w:tc>
          <w:tcPr>
            <w:tcW w:w="1223"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单位产品综合能耗</w:t>
            </w:r>
          </w:p>
        </w:tc>
        <w:tc>
          <w:tcPr>
            <w:tcW w:w="1223" w:type="dxa"/>
            <w:vAlign w:val="center"/>
          </w:tcPr>
          <w:p>
            <w:pPr>
              <w:adjustRightInd/>
              <w:spacing w:before="0" w:beforeLines="0" w:after="0" w:afterLines="0" w:line="320" w:lineRule="exact"/>
              <w:ind w:left="0" w:right="0" w:hanging="28"/>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w:t>
            </w:r>
            <w:r>
              <w:rPr>
                <w:rFonts w:hint="eastAsia" w:ascii="方正仿宋_GBK" w:hAnsi="方正仿宋_GBK" w:eastAsia="方正仿宋_GBK" w:cs="方正仿宋_GBK"/>
                <w:color w:val="000000" w:themeColor="text1"/>
                <w:kern w:val="2"/>
                <w:position w:val="0"/>
                <w:sz w:val="24"/>
                <w:szCs w:val="24"/>
                <w:lang w:eastAsia="en-US"/>
              </w:rPr>
              <w:t>煤</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吨</w:t>
            </w:r>
          </w:p>
        </w:tc>
        <w:tc>
          <w:tcPr>
            <w:tcW w:w="831" w:type="dxa"/>
            <w:vAlign w:val="center"/>
          </w:tcPr>
          <w:p>
            <w:pPr>
              <w:adjustRightInd/>
              <w:spacing w:before="0" w:beforeLines="0" w:after="0" w:afterLines="0" w:line="320" w:lineRule="exact"/>
              <w:jc w:val="center"/>
              <w:textAlignment w:val="auto"/>
              <w:rPr>
                <w:rFonts w:hint="eastAsia" w:ascii="方正仿宋_GBK" w:hAnsi="方正仿宋_GBK" w:cs="方正仿宋_GBK"/>
                <w:color w:val="000000" w:themeColor="text1"/>
                <w:kern w:val="2"/>
                <w:sz w:val="24"/>
                <w:szCs w:val="24"/>
                <w:lang w:eastAsia="en-US"/>
              </w:rPr>
            </w:pPr>
          </w:p>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300</w:t>
            </w:r>
          </w:p>
        </w:tc>
        <w:tc>
          <w:tcPr>
            <w:tcW w:w="831" w:type="dxa"/>
            <w:vAlign w:val="center"/>
          </w:tcPr>
          <w:p>
            <w:pPr>
              <w:adjustRightInd/>
              <w:spacing w:before="0" w:beforeLines="0" w:after="0" w:afterLines="0" w:line="320" w:lineRule="exact"/>
              <w:jc w:val="center"/>
              <w:textAlignment w:val="auto"/>
              <w:rPr>
                <w:rFonts w:hint="eastAsia" w:ascii="方正仿宋_GBK" w:hAnsi="方正仿宋_GBK" w:cs="方正仿宋_GBK"/>
                <w:color w:val="000000" w:themeColor="text1"/>
                <w:kern w:val="2"/>
                <w:sz w:val="24"/>
                <w:szCs w:val="24"/>
                <w:lang w:eastAsia="en-US"/>
              </w:rPr>
            </w:pPr>
          </w:p>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630</w:t>
            </w:r>
          </w:p>
        </w:tc>
        <w:tc>
          <w:tcPr>
            <w:tcW w:w="197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r>
    </w:tbl>
    <w:p>
      <w:pPr>
        <w:adjustRightInd/>
        <w:spacing w:after="0" w:line="259" w:lineRule="auto"/>
        <w:textAlignment w:val="auto"/>
        <w:rPr>
          <w:rFonts w:asciiTheme="minorHAnsi" w:hAnsiTheme="minorHAnsi" w:eastAsiaTheme="minorEastAsia" w:cstheme="minorBidi"/>
          <w:color w:val="000000" w:themeColor="text1"/>
          <w:kern w:val="2"/>
          <w:sz w:val="2"/>
          <w:szCs w:val="2"/>
        </w:rPr>
        <w:sectPr>
          <w:pgSz w:w="16838" w:h="11905" w:orient="landscape"/>
          <w:pgMar w:top="1531" w:right="2098" w:bottom="1531" w:left="1984" w:header="850" w:footer="1417" w:gutter="0"/>
          <w:pgNumType w:fmt="decimal"/>
          <w:cols w:space="720" w:num="1"/>
          <w:rtlGutter w:val="0"/>
          <w:docGrid w:type="linesAndChars" w:linePitch="579" w:charSpace="-856"/>
        </w:sectPr>
      </w:pPr>
    </w:p>
    <w:tbl>
      <w:tblPr>
        <w:tblStyle w:val="8"/>
        <w:tblW w:w="147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492"/>
        <w:gridCol w:w="1016"/>
        <w:gridCol w:w="1320"/>
        <w:gridCol w:w="1528"/>
        <w:gridCol w:w="1395"/>
        <w:gridCol w:w="2911"/>
        <w:gridCol w:w="1223"/>
        <w:gridCol w:w="1223"/>
        <w:gridCol w:w="831"/>
        <w:gridCol w:w="831"/>
        <w:gridCol w:w="1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restart"/>
            <w:vAlign w:val="center"/>
          </w:tcPr>
          <w:p>
            <w:pPr>
              <w:adjustRightInd/>
              <w:spacing w:before="17"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序</w:t>
            </w:r>
          </w:p>
          <w:p>
            <w:pPr>
              <w:adjustRightInd/>
              <w:spacing w:before="33"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号</w:t>
            </w:r>
          </w:p>
        </w:tc>
        <w:tc>
          <w:tcPr>
            <w:tcW w:w="3864" w:type="dxa"/>
            <w:gridSpan w:val="3"/>
            <w:vAlign w:val="center"/>
          </w:tcPr>
          <w:p>
            <w:pPr>
              <w:adjustRightInd/>
              <w:spacing w:before="12"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国民经济行业分类及代码</w:t>
            </w:r>
          </w:p>
        </w:tc>
        <w:tc>
          <w:tcPr>
            <w:tcW w:w="4306" w:type="dxa"/>
            <w:gridSpan w:val="2"/>
            <w:vMerge w:val="restart"/>
            <w:vAlign w:val="center"/>
          </w:tcPr>
          <w:p>
            <w:pPr>
              <w:adjustRightInd/>
              <w:spacing w:before="168" w:beforeLines="0" w:after="0" w:afterLines="0" w:line="320" w:lineRule="exact"/>
              <w:ind w:left="0" w:righ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重点领域</w:t>
            </w:r>
          </w:p>
        </w:tc>
        <w:tc>
          <w:tcPr>
            <w:tcW w:w="1223" w:type="dxa"/>
            <w:vMerge w:val="restart"/>
            <w:vAlign w:val="center"/>
          </w:tcPr>
          <w:p>
            <w:pPr>
              <w:adjustRightInd/>
              <w:spacing w:before="168"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指标名称</w:t>
            </w:r>
          </w:p>
        </w:tc>
        <w:tc>
          <w:tcPr>
            <w:tcW w:w="1223" w:type="dxa"/>
            <w:vMerge w:val="restart"/>
            <w:vAlign w:val="center"/>
          </w:tcPr>
          <w:p>
            <w:pPr>
              <w:adjustRightInd/>
              <w:spacing w:before="168"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指标单位</w:t>
            </w:r>
          </w:p>
        </w:tc>
        <w:tc>
          <w:tcPr>
            <w:tcW w:w="831" w:type="dxa"/>
            <w:vMerge w:val="restart"/>
            <w:vAlign w:val="center"/>
          </w:tcPr>
          <w:p>
            <w:pPr>
              <w:adjustRightInd/>
              <w:spacing w:before="17"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标杆</w:t>
            </w:r>
          </w:p>
          <w:p>
            <w:pPr>
              <w:adjustRightInd/>
              <w:spacing w:before="33"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水平</w:t>
            </w:r>
          </w:p>
        </w:tc>
        <w:tc>
          <w:tcPr>
            <w:tcW w:w="831" w:type="dxa"/>
            <w:vMerge w:val="restart"/>
            <w:vAlign w:val="center"/>
          </w:tcPr>
          <w:p>
            <w:pPr>
              <w:adjustRightInd/>
              <w:spacing w:before="17"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基准</w:t>
            </w:r>
          </w:p>
          <w:p>
            <w:pPr>
              <w:adjustRightInd/>
              <w:spacing w:before="33"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水平</w:t>
            </w:r>
          </w:p>
        </w:tc>
        <w:tc>
          <w:tcPr>
            <w:tcW w:w="1970" w:type="dxa"/>
            <w:vMerge w:val="restart"/>
            <w:vAlign w:val="center"/>
          </w:tcPr>
          <w:p>
            <w:pPr>
              <w:adjustRightInd/>
              <w:spacing w:before="168"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参考标准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c>
          <w:tcPr>
            <w:tcW w:w="1016" w:type="dxa"/>
            <w:vAlign w:val="center"/>
          </w:tcPr>
          <w:p>
            <w:pPr>
              <w:adjustRightInd/>
              <w:spacing w:before="12"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大类</w:t>
            </w:r>
          </w:p>
        </w:tc>
        <w:tc>
          <w:tcPr>
            <w:tcW w:w="1320" w:type="dxa"/>
            <w:vAlign w:val="center"/>
          </w:tcPr>
          <w:p>
            <w:pPr>
              <w:adjustRightInd/>
              <w:spacing w:before="12"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中类</w:t>
            </w:r>
          </w:p>
        </w:tc>
        <w:tc>
          <w:tcPr>
            <w:tcW w:w="1528" w:type="dxa"/>
            <w:vAlign w:val="center"/>
          </w:tcPr>
          <w:p>
            <w:pPr>
              <w:adjustRightInd/>
              <w:spacing w:before="12" w:beforeLines="0" w:after="0" w:afterLines="0" w:line="320" w:lineRule="exact"/>
              <w:ind w:left="0" w:righ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小类</w:t>
            </w:r>
          </w:p>
        </w:tc>
        <w:tc>
          <w:tcPr>
            <w:tcW w:w="4306" w:type="dxa"/>
            <w:gridSpan w:val="2"/>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c>
          <w:tcPr>
            <w:tcW w:w="831"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c>
          <w:tcPr>
            <w:tcW w:w="831"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c>
          <w:tcPr>
            <w:tcW w:w="1970"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restart"/>
            <w:vAlign w:val="center"/>
          </w:tcPr>
          <w:p>
            <w:pPr>
              <w:adjustRightInd/>
              <w:spacing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4</w:t>
            </w:r>
          </w:p>
        </w:tc>
        <w:tc>
          <w:tcPr>
            <w:tcW w:w="1016" w:type="dxa"/>
            <w:vMerge w:val="restart"/>
            <w:vAlign w:val="center"/>
          </w:tcPr>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黑色金属冶炼和压延加工业</w:t>
            </w:r>
          </w:p>
          <w:p>
            <w:pPr>
              <w:adjustRightInd/>
              <w:spacing w:before="5"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31</w:t>
            </w:r>
            <w:r>
              <w:rPr>
                <w:rFonts w:hint="eastAsia" w:ascii="方正仿宋_GBK" w:hAnsi="方正仿宋_GBK" w:eastAsia="方正仿宋_GBK" w:cs="方正仿宋_GBK"/>
                <w:color w:val="000000" w:themeColor="text1"/>
                <w:kern w:val="2"/>
                <w:sz w:val="24"/>
                <w:szCs w:val="24"/>
                <w:lang w:eastAsia="en-US"/>
              </w:rPr>
              <w:t>）</w:t>
            </w:r>
          </w:p>
        </w:tc>
        <w:tc>
          <w:tcPr>
            <w:tcW w:w="1320" w:type="dxa"/>
            <w:vAlign w:val="center"/>
          </w:tcPr>
          <w:p>
            <w:pPr>
              <w:adjustRightInd/>
              <w:spacing w:before="158"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炼铁（</w:t>
            </w:r>
            <w:r>
              <w:rPr>
                <w:rFonts w:hint="default" w:ascii="Times New Roman" w:hAnsi="Times New Roman" w:eastAsia="方正仿宋_GBK" w:cs="Times New Roman"/>
                <w:color w:val="000000" w:themeColor="text1"/>
                <w:kern w:val="2"/>
                <w:sz w:val="24"/>
                <w:szCs w:val="24"/>
                <w:lang w:eastAsia="en-US"/>
              </w:rPr>
              <w:t>311</w:t>
            </w:r>
            <w:r>
              <w:rPr>
                <w:rFonts w:hint="eastAsia" w:ascii="方正仿宋_GBK" w:hAnsi="方正仿宋_GBK" w:eastAsia="方正仿宋_GBK" w:cs="方正仿宋_GBK"/>
                <w:color w:val="000000" w:themeColor="text1"/>
                <w:kern w:val="2"/>
                <w:position w:val="0"/>
                <w:sz w:val="24"/>
                <w:szCs w:val="24"/>
                <w:lang w:eastAsia="en-US"/>
              </w:rPr>
              <w:t>）</w:t>
            </w:r>
          </w:p>
        </w:tc>
        <w:tc>
          <w:tcPr>
            <w:tcW w:w="1528" w:type="dxa"/>
            <w:vAlign w:val="center"/>
          </w:tcPr>
          <w:p>
            <w:pPr>
              <w:adjustRightInd/>
              <w:spacing w:before="158"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炼铁（</w:t>
            </w:r>
            <w:r>
              <w:rPr>
                <w:rFonts w:hint="default" w:ascii="Times New Roman" w:hAnsi="Times New Roman" w:eastAsia="方正仿宋_GBK" w:cs="Times New Roman"/>
                <w:color w:val="000000" w:themeColor="text1"/>
                <w:kern w:val="2"/>
                <w:sz w:val="24"/>
                <w:szCs w:val="24"/>
                <w:lang w:eastAsia="en-US"/>
              </w:rPr>
              <w:t>3110</w:t>
            </w:r>
            <w:r>
              <w:rPr>
                <w:rFonts w:hint="eastAsia" w:ascii="方正仿宋_GBK" w:hAnsi="方正仿宋_GBK" w:eastAsia="方正仿宋_GBK" w:cs="方正仿宋_GBK"/>
                <w:color w:val="000000" w:themeColor="text1"/>
                <w:kern w:val="2"/>
                <w:position w:val="0"/>
                <w:sz w:val="24"/>
                <w:szCs w:val="24"/>
                <w:lang w:eastAsia="en-US"/>
              </w:rPr>
              <w:t>）</w:t>
            </w:r>
          </w:p>
        </w:tc>
        <w:tc>
          <w:tcPr>
            <w:tcW w:w="4306" w:type="dxa"/>
            <w:gridSpan w:val="2"/>
            <w:vAlign w:val="center"/>
          </w:tcPr>
          <w:p>
            <w:pPr>
              <w:adjustRightInd/>
              <w:spacing w:before="153"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高炉工序</w:t>
            </w:r>
          </w:p>
        </w:tc>
        <w:tc>
          <w:tcPr>
            <w:tcW w:w="1223" w:type="dxa"/>
            <w:vAlign w:val="center"/>
          </w:tcPr>
          <w:p>
            <w:pPr>
              <w:adjustRightInd/>
              <w:spacing w:before="4"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w:t>
            </w:r>
          </w:p>
          <w:p>
            <w:pPr>
              <w:adjustRightInd/>
              <w:spacing w:before="31"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能耗</w:t>
            </w:r>
          </w:p>
        </w:tc>
        <w:tc>
          <w:tcPr>
            <w:tcW w:w="1223" w:type="dxa"/>
            <w:vAlign w:val="center"/>
          </w:tcPr>
          <w:p>
            <w:pPr>
              <w:adjustRightInd/>
              <w:spacing w:before="4" w:beforeLines="0" w:after="0" w:afterLines="0" w:line="320" w:lineRule="exact"/>
              <w:ind w:left="101" w:leftChars="32"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w:t>
            </w:r>
          </w:p>
          <w:p>
            <w:pPr>
              <w:adjustRightInd/>
              <w:spacing w:before="36" w:beforeLines="0" w:after="0" w:afterLines="0" w:line="320" w:lineRule="exact"/>
              <w:ind w:left="101" w:leftChars="32"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煤</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吨</w:t>
            </w:r>
          </w:p>
        </w:tc>
        <w:tc>
          <w:tcPr>
            <w:tcW w:w="831" w:type="dxa"/>
            <w:vAlign w:val="center"/>
          </w:tcPr>
          <w:p>
            <w:pPr>
              <w:adjustRightInd/>
              <w:spacing w:before="177" w:beforeLines="0" w:after="0" w:afterLines="0" w:line="32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361</w:t>
            </w:r>
          </w:p>
        </w:tc>
        <w:tc>
          <w:tcPr>
            <w:tcW w:w="831" w:type="dxa"/>
            <w:vAlign w:val="center"/>
          </w:tcPr>
          <w:p>
            <w:pPr>
              <w:adjustRightInd/>
              <w:spacing w:before="177"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435</w:t>
            </w:r>
          </w:p>
        </w:tc>
        <w:tc>
          <w:tcPr>
            <w:tcW w:w="1970" w:type="dxa"/>
            <w:vMerge w:val="restart"/>
            <w:vAlign w:val="center"/>
          </w:tcPr>
          <w:p>
            <w:pPr>
              <w:adjustRightInd/>
              <w:spacing w:beforeLines="0" w:after="0" w:afterLines="0" w:line="320" w:lineRule="exact"/>
              <w:ind w:left="0" w:hanging="470" w:hangingChars="199"/>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21256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restart"/>
            <w:vAlign w:val="center"/>
          </w:tcPr>
          <w:p>
            <w:pPr>
              <w:adjustRightInd/>
              <w:spacing w:before="179"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炼钢（</w:t>
            </w:r>
            <w:r>
              <w:rPr>
                <w:rFonts w:hint="default" w:ascii="Times New Roman" w:hAnsi="Times New Roman" w:eastAsia="方正仿宋_GBK" w:cs="Times New Roman"/>
                <w:color w:val="000000" w:themeColor="text1"/>
                <w:kern w:val="2"/>
                <w:sz w:val="24"/>
                <w:szCs w:val="24"/>
                <w:lang w:eastAsia="en-US"/>
              </w:rPr>
              <w:t>312</w:t>
            </w:r>
            <w:r>
              <w:rPr>
                <w:rFonts w:hint="eastAsia" w:ascii="方正仿宋_GBK" w:hAnsi="方正仿宋_GBK" w:eastAsia="方正仿宋_GBK" w:cs="方正仿宋_GBK"/>
                <w:color w:val="000000" w:themeColor="text1"/>
                <w:kern w:val="2"/>
                <w:position w:val="0"/>
                <w:sz w:val="24"/>
                <w:szCs w:val="24"/>
                <w:lang w:eastAsia="en-US"/>
              </w:rPr>
              <w:t>）</w:t>
            </w:r>
          </w:p>
        </w:tc>
        <w:tc>
          <w:tcPr>
            <w:tcW w:w="1528" w:type="dxa"/>
            <w:vMerge w:val="restart"/>
            <w:vAlign w:val="center"/>
          </w:tcPr>
          <w:p>
            <w:pPr>
              <w:adjustRightInd/>
              <w:spacing w:before="179"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炼钢（</w:t>
            </w:r>
            <w:r>
              <w:rPr>
                <w:rFonts w:hint="default" w:ascii="Times New Roman" w:hAnsi="Times New Roman" w:eastAsia="方正仿宋_GBK" w:cs="Times New Roman"/>
                <w:color w:val="000000" w:themeColor="text1"/>
                <w:kern w:val="2"/>
                <w:sz w:val="24"/>
                <w:szCs w:val="24"/>
                <w:lang w:eastAsia="en-US"/>
              </w:rPr>
              <w:t>3120</w:t>
            </w:r>
            <w:r>
              <w:rPr>
                <w:rFonts w:hint="eastAsia" w:ascii="方正仿宋_GBK" w:hAnsi="方正仿宋_GBK" w:eastAsia="方正仿宋_GBK" w:cs="方正仿宋_GBK"/>
                <w:color w:val="000000" w:themeColor="text1"/>
                <w:kern w:val="2"/>
                <w:position w:val="0"/>
                <w:sz w:val="24"/>
                <w:szCs w:val="24"/>
                <w:lang w:eastAsia="en-US"/>
              </w:rPr>
              <w:t>）</w:t>
            </w:r>
          </w:p>
        </w:tc>
        <w:tc>
          <w:tcPr>
            <w:tcW w:w="4306" w:type="dxa"/>
            <w:gridSpan w:val="2"/>
            <w:vAlign w:val="center"/>
          </w:tcPr>
          <w:p>
            <w:pPr>
              <w:adjustRightInd/>
              <w:spacing w:before="155"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转炉工序</w:t>
            </w:r>
          </w:p>
        </w:tc>
        <w:tc>
          <w:tcPr>
            <w:tcW w:w="1223" w:type="dxa"/>
            <w:vAlign w:val="center"/>
          </w:tcPr>
          <w:p>
            <w:pPr>
              <w:adjustRightInd/>
              <w:spacing w:before="6"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w:t>
            </w:r>
          </w:p>
          <w:p>
            <w:pPr>
              <w:adjustRightInd/>
              <w:spacing w:before="31"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能耗</w:t>
            </w:r>
          </w:p>
        </w:tc>
        <w:tc>
          <w:tcPr>
            <w:tcW w:w="1223" w:type="dxa"/>
            <w:vAlign w:val="center"/>
          </w:tcPr>
          <w:p>
            <w:pPr>
              <w:adjustRightInd/>
              <w:spacing w:before="6" w:beforeLines="0" w:after="0" w:afterLines="0" w:line="320" w:lineRule="exact"/>
              <w:ind w:left="101" w:leftChars="32"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w:t>
            </w:r>
          </w:p>
          <w:p>
            <w:pPr>
              <w:adjustRightInd/>
              <w:spacing w:before="31" w:beforeLines="0" w:after="0" w:afterLines="0" w:line="320" w:lineRule="exact"/>
              <w:ind w:left="101" w:leftChars="32"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煤</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吨</w:t>
            </w:r>
          </w:p>
        </w:tc>
        <w:tc>
          <w:tcPr>
            <w:tcW w:w="831" w:type="dxa"/>
            <w:vAlign w:val="center"/>
          </w:tcPr>
          <w:p>
            <w:pPr>
              <w:adjustRightInd/>
              <w:spacing w:before="179" w:beforeLines="0" w:after="0" w:afterLines="0" w:line="32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30</w:t>
            </w:r>
          </w:p>
        </w:tc>
        <w:tc>
          <w:tcPr>
            <w:tcW w:w="831" w:type="dxa"/>
            <w:vAlign w:val="center"/>
          </w:tcPr>
          <w:p>
            <w:pPr>
              <w:adjustRightInd/>
              <w:spacing w:before="179"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10</w:t>
            </w:r>
          </w:p>
        </w:tc>
        <w:tc>
          <w:tcPr>
            <w:tcW w:w="197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restart"/>
            <w:vAlign w:val="center"/>
          </w:tcPr>
          <w:p>
            <w:pPr>
              <w:adjustRightInd/>
              <w:spacing w:before="149"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电弧炉冶炼</w:t>
            </w:r>
          </w:p>
        </w:tc>
        <w:tc>
          <w:tcPr>
            <w:tcW w:w="2911" w:type="dxa"/>
            <w:vAlign w:val="center"/>
          </w:tcPr>
          <w:p>
            <w:pPr>
              <w:adjustRightInd/>
              <w:spacing w:before="137" w:beforeLines="0" w:after="0" w:afterLines="0" w:line="40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30</w:t>
            </w:r>
            <w:r>
              <w:rPr>
                <w:rFonts w:hint="eastAsia" w:ascii="方正仿宋_GBK" w:hAnsi="方正仿宋_GBK" w:eastAsia="方正仿宋_GBK" w:cs="方正仿宋_GBK"/>
                <w:color w:val="000000" w:themeColor="text1"/>
                <w:kern w:val="2"/>
                <w:position w:val="0"/>
                <w:sz w:val="24"/>
                <w:szCs w:val="24"/>
                <w:lang w:eastAsia="en-US"/>
              </w:rPr>
              <w:t>吨＜公称容量＜</w:t>
            </w:r>
            <w:r>
              <w:rPr>
                <w:rFonts w:hint="default" w:ascii="Times New Roman" w:hAnsi="Times New Roman" w:eastAsia="方正仿宋_GBK" w:cs="Times New Roman"/>
                <w:color w:val="000000" w:themeColor="text1"/>
                <w:kern w:val="2"/>
                <w:sz w:val="24"/>
                <w:szCs w:val="24"/>
                <w:lang w:eastAsia="en-US"/>
              </w:rPr>
              <w:t>50</w:t>
            </w:r>
            <w:r>
              <w:rPr>
                <w:rFonts w:hint="eastAsia" w:ascii="方正仿宋_GBK" w:hAnsi="方正仿宋_GBK" w:eastAsia="方正仿宋_GBK" w:cs="方正仿宋_GBK"/>
                <w:color w:val="000000" w:themeColor="text1"/>
                <w:kern w:val="2"/>
                <w:position w:val="0"/>
                <w:sz w:val="24"/>
                <w:szCs w:val="24"/>
                <w:lang w:eastAsia="en-US"/>
              </w:rPr>
              <w:t>吨</w:t>
            </w:r>
          </w:p>
        </w:tc>
        <w:tc>
          <w:tcPr>
            <w:tcW w:w="1223" w:type="dxa"/>
            <w:vMerge w:val="restart"/>
            <w:vAlign w:val="center"/>
          </w:tcPr>
          <w:p>
            <w:pPr>
              <w:adjustRightInd/>
              <w:spacing w:beforeLines="0" w:after="0" w:afterLines="0" w:line="320" w:lineRule="exact"/>
              <w:ind w:left="0" w:right="0" w:hanging="29"/>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单位产品能耗</w:t>
            </w:r>
          </w:p>
        </w:tc>
        <w:tc>
          <w:tcPr>
            <w:tcW w:w="1223" w:type="dxa"/>
            <w:vMerge w:val="restart"/>
            <w:vAlign w:val="center"/>
          </w:tcPr>
          <w:p>
            <w:pPr>
              <w:adjustRightInd/>
              <w:spacing w:beforeLines="0" w:after="0" w:afterLines="0" w:line="320" w:lineRule="exact"/>
              <w:ind w:left="101" w:leftChars="32" w:right="0" w:firstLine="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w:t>
            </w:r>
            <w:r>
              <w:rPr>
                <w:rFonts w:hint="eastAsia" w:ascii="方正仿宋_GBK" w:hAnsi="方正仿宋_GBK" w:eastAsia="方正仿宋_GBK" w:cs="方正仿宋_GBK"/>
                <w:color w:val="000000" w:themeColor="text1"/>
                <w:kern w:val="2"/>
                <w:position w:val="0"/>
                <w:sz w:val="24"/>
                <w:szCs w:val="24"/>
                <w:lang w:eastAsia="en-US"/>
              </w:rPr>
              <w:t>煤</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吨</w:t>
            </w:r>
          </w:p>
        </w:tc>
        <w:tc>
          <w:tcPr>
            <w:tcW w:w="831" w:type="dxa"/>
            <w:vAlign w:val="center"/>
          </w:tcPr>
          <w:p>
            <w:pPr>
              <w:adjustRightInd/>
              <w:spacing w:before="161" w:beforeLines="0" w:after="0" w:afterLines="0" w:line="32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67</w:t>
            </w:r>
          </w:p>
        </w:tc>
        <w:tc>
          <w:tcPr>
            <w:tcW w:w="831" w:type="dxa"/>
            <w:vAlign w:val="center"/>
          </w:tcPr>
          <w:p>
            <w:pPr>
              <w:adjustRightInd/>
              <w:spacing w:before="161"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86</w:t>
            </w:r>
          </w:p>
        </w:tc>
        <w:tc>
          <w:tcPr>
            <w:tcW w:w="1970" w:type="dxa"/>
            <w:vMerge w:val="restart"/>
            <w:vAlign w:val="center"/>
          </w:tcPr>
          <w:p>
            <w:pPr>
              <w:adjustRightInd/>
              <w:spacing w:before="4"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32050</w:t>
            </w:r>
          </w:p>
          <w:p>
            <w:pPr>
              <w:adjustRightInd/>
              <w:spacing w:before="4"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注：电弧炉冶炼全不锈钢单位产品</w:t>
            </w:r>
            <w:r>
              <w:rPr>
                <w:rFonts w:hint="eastAsia" w:ascii="方正仿宋_GBK" w:hAnsi="方正仿宋_GBK" w:eastAsia="方正仿宋_GBK" w:cs="方正仿宋_GBK"/>
                <w:color w:val="000000" w:themeColor="text1"/>
                <w:kern w:val="2"/>
                <w:position w:val="0"/>
                <w:sz w:val="24"/>
                <w:szCs w:val="24"/>
                <w:lang w:eastAsia="en-US"/>
              </w:rPr>
              <w:t>能耗提高</w:t>
            </w:r>
            <w:r>
              <w:rPr>
                <w:rFonts w:hint="default" w:ascii="Times New Roman" w:hAnsi="Times New Roman" w:eastAsia="方正仿宋_GBK" w:cs="Times New Roman"/>
                <w:color w:val="000000" w:themeColor="text1"/>
                <w:kern w:val="2"/>
                <w:sz w:val="24"/>
                <w:szCs w:val="24"/>
                <w:lang w:eastAsia="en-US"/>
              </w:rPr>
              <w:t>10%</w:t>
            </w:r>
            <w:r>
              <w:rPr>
                <w:rFonts w:hint="eastAsia" w:ascii="方正仿宋_GBK" w:hAnsi="方正仿宋_GBK" w:eastAsia="方正仿宋_GBK" w:cs="方正仿宋_GBK"/>
                <w:color w:val="000000" w:themeColor="text1"/>
                <w:kern w:val="2"/>
                <w:position w:val="0"/>
                <w:sz w:val="24"/>
                <w:szCs w:val="24"/>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2911" w:type="dxa"/>
            <w:vAlign w:val="center"/>
          </w:tcPr>
          <w:p>
            <w:pPr>
              <w:adjustRightInd/>
              <w:spacing w:before="138"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公称容量≥</w:t>
            </w:r>
            <w:r>
              <w:rPr>
                <w:rFonts w:hint="default" w:ascii="Times New Roman" w:hAnsi="Times New Roman" w:eastAsia="方正仿宋_GBK" w:cs="Times New Roman"/>
                <w:color w:val="000000" w:themeColor="text1"/>
                <w:kern w:val="2"/>
                <w:sz w:val="24"/>
                <w:szCs w:val="24"/>
                <w:lang w:eastAsia="en-US"/>
              </w:rPr>
              <w:t>50</w:t>
            </w:r>
            <w:r>
              <w:rPr>
                <w:rFonts w:hint="eastAsia" w:ascii="方正仿宋_GBK" w:hAnsi="方正仿宋_GBK" w:eastAsia="方正仿宋_GBK" w:cs="方正仿宋_GBK"/>
                <w:color w:val="000000" w:themeColor="text1"/>
                <w:kern w:val="2"/>
                <w:sz w:val="24"/>
                <w:szCs w:val="24"/>
                <w:lang w:eastAsia="en-US"/>
              </w:rPr>
              <w:t>吨</w:t>
            </w: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ind w:left="0" w:leftChars="0"/>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160" w:beforeLines="0" w:after="0" w:afterLines="0" w:line="32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61</w:t>
            </w:r>
          </w:p>
        </w:tc>
        <w:tc>
          <w:tcPr>
            <w:tcW w:w="831" w:type="dxa"/>
            <w:vAlign w:val="center"/>
          </w:tcPr>
          <w:p>
            <w:pPr>
              <w:adjustRightInd/>
              <w:spacing w:before="16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72</w:t>
            </w:r>
          </w:p>
        </w:tc>
        <w:tc>
          <w:tcPr>
            <w:tcW w:w="197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restart"/>
            <w:vAlign w:val="center"/>
          </w:tcPr>
          <w:p>
            <w:pPr>
              <w:adjustRightInd/>
              <w:spacing w:before="188" w:beforeLines="0" w:after="0" w:afterLines="0" w:line="320" w:lineRule="exact"/>
              <w:ind w:left="0" w:right="0" w:firstLine="52"/>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铁合金冶炼（</w:t>
            </w:r>
            <w:r>
              <w:rPr>
                <w:rFonts w:hint="default" w:ascii="Times New Roman" w:hAnsi="Times New Roman" w:eastAsia="方正仿宋_GBK" w:cs="Times New Roman"/>
                <w:color w:val="000000" w:themeColor="text1"/>
                <w:kern w:val="2"/>
                <w:sz w:val="24"/>
                <w:szCs w:val="24"/>
                <w:lang w:eastAsia="en-US"/>
              </w:rPr>
              <w:t>314</w:t>
            </w:r>
            <w:r>
              <w:rPr>
                <w:rFonts w:hint="eastAsia" w:ascii="方正仿宋_GBK" w:hAnsi="方正仿宋_GBK" w:eastAsia="方正仿宋_GBK" w:cs="方正仿宋_GBK"/>
                <w:color w:val="000000" w:themeColor="text1"/>
                <w:kern w:val="2"/>
                <w:sz w:val="24"/>
                <w:szCs w:val="24"/>
                <w:lang w:eastAsia="en-US"/>
              </w:rPr>
              <w:t>）</w:t>
            </w:r>
          </w:p>
        </w:tc>
        <w:tc>
          <w:tcPr>
            <w:tcW w:w="1528" w:type="dxa"/>
            <w:vMerge w:val="restart"/>
            <w:vAlign w:val="center"/>
          </w:tcPr>
          <w:p>
            <w:pPr>
              <w:adjustRightInd/>
              <w:spacing w:before="188"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铁合金冶炼</w:t>
            </w:r>
          </w:p>
          <w:p>
            <w:pPr>
              <w:adjustRightInd/>
              <w:spacing w:before="31"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3140</w:t>
            </w:r>
            <w:r>
              <w:rPr>
                <w:rFonts w:hint="eastAsia" w:ascii="方正仿宋_GBK" w:hAnsi="方正仿宋_GBK" w:eastAsia="方正仿宋_GBK" w:cs="方正仿宋_GBK"/>
                <w:color w:val="000000" w:themeColor="text1"/>
                <w:kern w:val="2"/>
                <w:sz w:val="24"/>
                <w:szCs w:val="24"/>
                <w:lang w:eastAsia="en-US"/>
              </w:rPr>
              <w:t>）</w:t>
            </w:r>
          </w:p>
        </w:tc>
        <w:tc>
          <w:tcPr>
            <w:tcW w:w="4306" w:type="dxa"/>
            <w:gridSpan w:val="2"/>
            <w:vAlign w:val="center"/>
          </w:tcPr>
          <w:p>
            <w:pPr>
              <w:adjustRightInd/>
              <w:spacing w:before="104" w:beforeLines="0" w:after="0" w:afterLines="0" w:line="40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硅铁</w:t>
            </w:r>
          </w:p>
        </w:tc>
        <w:tc>
          <w:tcPr>
            <w:tcW w:w="1223" w:type="dxa"/>
            <w:vMerge w:val="restart"/>
            <w:vAlign w:val="center"/>
          </w:tcPr>
          <w:p>
            <w:pPr>
              <w:adjustRightInd/>
              <w:spacing w:before="188"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单位产品综合能耗</w:t>
            </w:r>
          </w:p>
        </w:tc>
        <w:tc>
          <w:tcPr>
            <w:tcW w:w="1223" w:type="dxa"/>
            <w:vMerge w:val="restart"/>
            <w:vAlign w:val="center"/>
          </w:tcPr>
          <w:p>
            <w:pPr>
              <w:adjustRightInd/>
              <w:spacing w:before="188" w:beforeLines="0" w:after="0" w:afterLines="0" w:line="320" w:lineRule="exact"/>
              <w:ind w:left="101" w:leftChars="32" w:right="0" w:firstLine="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w:t>
            </w:r>
            <w:r>
              <w:rPr>
                <w:rFonts w:hint="eastAsia" w:ascii="方正仿宋_GBK" w:hAnsi="方正仿宋_GBK" w:eastAsia="方正仿宋_GBK" w:cs="方正仿宋_GBK"/>
                <w:color w:val="000000" w:themeColor="text1"/>
                <w:kern w:val="2"/>
                <w:position w:val="0"/>
                <w:sz w:val="24"/>
                <w:szCs w:val="24"/>
                <w:lang w:eastAsia="en-US"/>
              </w:rPr>
              <w:t>煤</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吨</w:t>
            </w:r>
          </w:p>
        </w:tc>
        <w:tc>
          <w:tcPr>
            <w:tcW w:w="831" w:type="dxa"/>
            <w:vAlign w:val="center"/>
          </w:tcPr>
          <w:p>
            <w:pPr>
              <w:adjustRightInd/>
              <w:spacing w:before="127" w:beforeLines="0" w:after="0" w:afterLines="0" w:line="32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1770</w:t>
            </w:r>
          </w:p>
        </w:tc>
        <w:tc>
          <w:tcPr>
            <w:tcW w:w="831" w:type="dxa"/>
            <w:vAlign w:val="center"/>
          </w:tcPr>
          <w:p>
            <w:pPr>
              <w:adjustRightInd/>
              <w:spacing w:before="127"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1900</w:t>
            </w:r>
          </w:p>
        </w:tc>
        <w:tc>
          <w:tcPr>
            <w:tcW w:w="1970" w:type="dxa"/>
            <w:vMerge w:val="restart"/>
            <w:vAlign w:val="center"/>
          </w:tcPr>
          <w:p>
            <w:pPr>
              <w:adjustRightInd/>
              <w:spacing w:before="130" w:beforeLines="0" w:after="0" w:afterLines="0" w:line="320" w:lineRule="exact"/>
              <w:ind w:left="296" w:leftChars="39" w:hanging="173" w:hangingChars="73"/>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21341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4306" w:type="dxa"/>
            <w:gridSpan w:val="2"/>
            <w:vAlign w:val="center"/>
          </w:tcPr>
          <w:p>
            <w:pPr>
              <w:adjustRightInd/>
              <w:spacing w:before="104" w:beforeLines="0" w:after="0" w:afterLines="0" w:line="40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锰硅合金</w:t>
            </w: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ind w:left="0" w:leftChars="0"/>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127" w:beforeLines="0" w:after="0" w:afterLines="0" w:line="32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860</w:t>
            </w:r>
          </w:p>
        </w:tc>
        <w:tc>
          <w:tcPr>
            <w:tcW w:w="831" w:type="dxa"/>
            <w:vAlign w:val="center"/>
          </w:tcPr>
          <w:p>
            <w:pPr>
              <w:adjustRightInd/>
              <w:spacing w:before="127"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950</w:t>
            </w:r>
          </w:p>
        </w:tc>
        <w:tc>
          <w:tcPr>
            <w:tcW w:w="1970" w:type="dxa"/>
            <w:vMerge w:val="continue"/>
            <w:tcBorders>
              <w:top w:val="nil"/>
            </w:tcBorders>
            <w:vAlign w:val="center"/>
          </w:tcPr>
          <w:p>
            <w:pPr>
              <w:adjustRightInd/>
              <w:spacing w:beforeLines="0" w:after="0" w:afterLines="0" w:line="320" w:lineRule="exact"/>
              <w:ind w:left="0" w:leftChars="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4306" w:type="dxa"/>
            <w:gridSpan w:val="2"/>
            <w:vAlign w:val="center"/>
          </w:tcPr>
          <w:p>
            <w:pPr>
              <w:adjustRightInd/>
              <w:spacing w:before="103" w:beforeLines="0" w:after="0" w:afterLines="0" w:line="40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高碳铬铁</w:t>
            </w: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ind w:left="0" w:leftChars="0"/>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127" w:beforeLines="0" w:after="0" w:afterLines="0" w:line="32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710</w:t>
            </w:r>
          </w:p>
        </w:tc>
        <w:tc>
          <w:tcPr>
            <w:tcW w:w="831" w:type="dxa"/>
            <w:vAlign w:val="center"/>
          </w:tcPr>
          <w:p>
            <w:pPr>
              <w:adjustRightInd/>
              <w:spacing w:before="127"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800</w:t>
            </w:r>
          </w:p>
        </w:tc>
        <w:tc>
          <w:tcPr>
            <w:tcW w:w="1970" w:type="dxa"/>
            <w:vMerge w:val="continue"/>
            <w:tcBorders>
              <w:top w:val="nil"/>
            </w:tcBorders>
            <w:vAlign w:val="center"/>
          </w:tcPr>
          <w:p>
            <w:pPr>
              <w:adjustRightInd/>
              <w:spacing w:beforeLines="0" w:after="0" w:afterLines="0" w:line="320" w:lineRule="exact"/>
              <w:ind w:left="0" w:leftChars="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restart"/>
            <w:vAlign w:val="center"/>
          </w:tcPr>
          <w:p>
            <w:pPr>
              <w:adjustRightInd/>
              <w:spacing w:before="135"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5</w:t>
            </w:r>
          </w:p>
        </w:tc>
        <w:tc>
          <w:tcPr>
            <w:tcW w:w="1016" w:type="dxa"/>
            <w:vMerge w:val="restart"/>
            <w:vAlign w:val="center"/>
          </w:tcPr>
          <w:p>
            <w:pPr>
              <w:adjustRightInd/>
              <w:spacing w:before="202"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有色金属冶炼和压延加工业</w:t>
            </w:r>
          </w:p>
          <w:p>
            <w:pPr>
              <w:adjustRightInd/>
              <w:spacing w:before="5"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32</w:t>
            </w:r>
            <w:r>
              <w:rPr>
                <w:rFonts w:hint="eastAsia" w:ascii="方正仿宋_GBK" w:hAnsi="方正仿宋_GBK" w:eastAsia="方正仿宋_GBK" w:cs="方正仿宋_GBK"/>
                <w:color w:val="000000" w:themeColor="text1"/>
                <w:kern w:val="2"/>
                <w:sz w:val="24"/>
                <w:szCs w:val="24"/>
                <w:lang w:eastAsia="en-US"/>
              </w:rPr>
              <w:t>）</w:t>
            </w:r>
          </w:p>
        </w:tc>
        <w:tc>
          <w:tcPr>
            <w:tcW w:w="1320" w:type="dxa"/>
            <w:vMerge w:val="restart"/>
            <w:vAlign w:val="center"/>
          </w:tcPr>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常用有色金属冶炼</w:t>
            </w:r>
          </w:p>
          <w:p>
            <w:pPr>
              <w:adjustRightInd/>
              <w:spacing w:before="5"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w:t>
            </w:r>
            <w:r>
              <w:rPr>
                <w:rFonts w:hint="default" w:ascii="Times New Roman" w:hAnsi="Times New Roman" w:eastAsia="方正仿宋_GBK" w:cs="Times New Roman"/>
                <w:color w:val="000000" w:themeColor="text1"/>
                <w:kern w:val="2"/>
                <w:sz w:val="24"/>
                <w:szCs w:val="24"/>
                <w:lang w:eastAsia="en-US"/>
              </w:rPr>
              <w:t>321</w:t>
            </w:r>
            <w:r>
              <w:rPr>
                <w:rFonts w:hint="eastAsia" w:ascii="方正仿宋_GBK" w:hAnsi="方正仿宋_GBK" w:eastAsia="方正仿宋_GBK" w:cs="方正仿宋_GBK"/>
                <w:color w:val="000000" w:themeColor="text1"/>
                <w:kern w:val="2"/>
                <w:position w:val="0"/>
                <w:sz w:val="24"/>
                <w:szCs w:val="24"/>
                <w:lang w:eastAsia="en-US"/>
              </w:rPr>
              <w:t>）</w:t>
            </w:r>
          </w:p>
        </w:tc>
        <w:tc>
          <w:tcPr>
            <w:tcW w:w="1528" w:type="dxa"/>
            <w:vMerge w:val="restart"/>
            <w:vAlign w:val="center"/>
          </w:tcPr>
          <w:p>
            <w:pPr>
              <w:adjustRightInd/>
              <w:spacing w:before="166" w:beforeLines="0" w:after="0" w:afterLines="0" w:line="320" w:lineRule="exact"/>
              <w:ind w:left="38" w:leftChars="0" w:hanging="38" w:hangingChars="16"/>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铜冶炼</w:t>
            </w:r>
          </w:p>
          <w:p>
            <w:pPr>
              <w:adjustRightInd/>
              <w:spacing w:before="31"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3211</w:t>
            </w:r>
            <w:r>
              <w:rPr>
                <w:rFonts w:hint="eastAsia" w:ascii="方正仿宋_GBK" w:hAnsi="方正仿宋_GBK" w:eastAsia="方正仿宋_GBK" w:cs="方正仿宋_GBK"/>
                <w:color w:val="000000" w:themeColor="text1"/>
                <w:kern w:val="2"/>
                <w:sz w:val="24"/>
                <w:szCs w:val="24"/>
                <w:lang w:eastAsia="en-US"/>
              </w:rPr>
              <w:t>）</w:t>
            </w:r>
          </w:p>
        </w:tc>
        <w:tc>
          <w:tcPr>
            <w:tcW w:w="4306" w:type="dxa"/>
            <w:gridSpan w:val="2"/>
            <w:vAlign w:val="center"/>
          </w:tcPr>
          <w:p>
            <w:pPr>
              <w:adjustRightInd/>
              <w:spacing w:before="103" w:beforeLines="0" w:after="0" w:afterLines="0" w:line="40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铜冶炼工艺（铜精矿</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阴极铜）</w:t>
            </w:r>
          </w:p>
        </w:tc>
        <w:tc>
          <w:tcPr>
            <w:tcW w:w="1223" w:type="dxa"/>
            <w:vMerge w:val="restart"/>
            <w:vAlign w:val="center"/>
          </w:tcPr>
          <w:p>
            <w:pPr>
              <w:adjustRightInd/>
              <w:spacing w:before="166"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单位产品综合能耗</w:t>
            </w:r>
          </w:p>
        </w:tc>
        <w:tc>
          <w:tcPr>
            <w:tcW w:w="1223" w:type="dxa"/>
            <w:vMerge w:val="restart"/>
            <w:vAlign w:val="center"/>
          </w:tcPr>
          <w:p>
            <w:pPr>
              <w:adjustRightInd/>
              <w:spacing w:before="166" w:beforeLines="0" w:after="0" w:afterLines="0" w:line="320" w:lineRule="exact"/>
              <w:ind w:left="101" w:leftChars="32" w:right="0" w:firstLine="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w:t>
            </w:r>
            <w:r>
              <w:rPr>
                <w:rFonts w:hint="eastAsia" w:ascii="方正仿宋_GBK" w:hAnsi="方正仿宋_GBK" w:eastAsia="方正仿宋_GBK" w:cs="方正仿宋_GBK"/>
                <w:color w:val="000000" w:themeColor="text1"/>
                <w:kern w:val="2"/>
                <w:position w:val="0"/>
                <w:sz w:val="24"/>
                <w:szCs w:val="24"/>
                <w:lang w:eastAsia="en-US"/>
              </w:rPr>
              <w:t>煤</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吨</w:t>
            </w:r>
          </w:p>
        </w:tc>
        <w:tc>
          <w:tcPr>
            <w:tcW w:w="831" w:type="dxa"/>
            <w:vAlign w:val="center"/>
          </w:tcPr>
          <w:p>
            <w:pPr>
              <w:adjustRightInd/>
              <w:spacing w:before="127" w:beforeLines="0" w:after="0" w:afterLines="0" w:line="32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260</w:t>
            </w:r>
          </w:p>
        </w:tc>
        <w:tc>
          <w:tcPr>
            <w:tcW w:w="831" w:type="dxa"/>
            <w:vAlign w:val="center"/>
          </w:tcPr>
          <w:p>
            <w:pPr>
              <w:adjustRightInd/>
              <w:spacing w:before="127"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380</w:t>
            </w:r>
          </w:p>
        </w:tc>
        <w:tc>
          <w:tcPr>
            <w:tcW w:w="1970" w:type="dxa"/>
            <w:vMerge w:val="restart"/>
            <w:vAlign w:val="center"/>
          </w:tcPr>
          <w:p>
            <w:pPr>
              <w:adjustRightInd/>
              <w:spacing w:before="131" w:beforeLines="0" w:after="0" w:afterLines="0" w:line="320" w:lineRule="exact"/>
              <w:ind w:left="296" w:leftChars="39" w:hanging="173" w:hangingChars="73"/>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21248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4306" w:type="dxa"/>
            <w:gridSpan w:val="2"/>
            <w:vAlign w:val="center"/>
          </w:tcPr>
          <w:p>
            <w:pPr>
              <w:adjustRightInd/>
              <w:spacing w:before="103" w:beforeLines="0" w:after="0" w:afterLines="0" w:line="40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粗铜工艺（铜精矿</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粗铜）</w:t>
            </w: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ind w:left="0" w:leftChars="0"/>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127" w:beforeLines="0" w:after="0" w:afterLines="0" w:line="32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140</w:t>
            </w:r>
          </w:p>
        </w:tc>
        <w:tc>
          <w:tcPr>
            <w:tcW w:w="831" w:type="dxa"/>
            <w:vAlign w:val="center"/>
          </w:tcPr>
          <w:p>
            <w:pPr>
              <w:adjustRightInd/>
              <w:spacing w:before="127"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260</w:t>
            </w:r>
          </w:p>
        </w:tc>
        <w:tc>
          <w:tcPr>
            <w:tcW w:w="1970" w:type="dxa"/>
            <w:vMerge w:val="continue"/>
            <w:tcBorders>
              <w:top w:val="nil"/>
            </w:tcBorders>
            <w:vAlign w:val="center"/>
          </w:tcPr>
          <w:p>
            <w:pPr>
              <w:adjustRightInd/>
              <w:spacing w:beforeLines="0" w:after="0" w:afterLines="0" w:line="320" w:lineRule="exact"/>
              <w:ind w:left="0" w:leftChars="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4306" w:type="dxa"/>
            <w:gridSpan w:val="2"/>
            <w:vAlign w:val="center"/>
          </w:tcPr>
          <w:p>
            <w:pPr>
              <w:adjustRightInd/>
              <w:spacing w:before="105" w:beforeLines="0" w:after="0" w:afterLines="0" w:line="40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阳极铜工艺（铜精矿</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阳极铜）</w:t>
            </w: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ind w:left="0" w:leftChars="0"/>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126" w:beforeLines="0" w:after="0" w:afterLines="0" w:line="32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180</w:t>
            </w:r>
          </w:p>
        </w:tc>
        <w:tc>
          <w:tcPr>
            <w:tcW w:w="831" w:type="dxa"/>
            <w:vAlign w:val="center"/>
          </w:tcPr>
          <w:p>
            <w:pPr>
              <w:adjustRightInd/>
              <w:spacing w:before="126"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290</w:t>
            </w:r>
          </w:p>
        </w:tc>
        <w:tc>
          <w:tcPr>
            <w:tcW w:w="1970" w:type="dxa"/>
            <w:vMerge w:val="continue"/>
            <w:tcBorders>
              <w:top w:val="nil"/>
            </w:tcBorders>
            <w:vAlign w:val="center"/>
          </w:tcPr>
          <w:p>
            <w:pPr>
              <w:adjustRightInd/>
              <w:spacing w:beforeLines="0" w:after="0" w:afterLines="0" w:line="320" w:lineRule="exact"/>
              <w:ind w:left="0" w:leftChars="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4306" w:type="dxa"/>
            <w:gridSpan w:val="2"/>
            <w:vAlign w:val="center"/>
          </w:tcPr>
          <w:p>
            <w:pPr>
              <w:adjustRightInd/>
              <w:spacing w:before="105" w:beforeLines="0" w:after="0" w:afterLines="0" w:line="40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电解工序（阳极铜</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阴极铜）</w:t>
            </w: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ind w:left="0" w:leftChars="0"/>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126" w:beforeLines="0" w:after="0" w:afterLines="0" w:line="32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85</w:t>
            </w:r>
          </w:p>
        </w:tc>
        <w:tc>
          <w:tcPr>
            <w:tcW w:w="831" w:type="dxa"/>
            <w:vAlign w:val="center"/>
          </w:tcPr>
          <w:p>
            <w:pPr>
              <w:adjustRightInd/>
              <w:spacing w:before="126"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110</w:t>
            </w:r>
          </w:p>
        </w:tc>
        <w:tc>
          <w:tcPr>
            <w:tcW w:w="1970" w:type="dxa"/>
            <w:vMerge w:val="continue"/>
            <w:tcBorders>
              <w:top w:val="nil"/>
            </w:tcBorders>
            <w:vAlign w:val="center"/>
          </w:tcPr>
          <w:p>
            <w:pPr>
              <w:adjustRightInd/>
              <w:spacing w:beforeLines="0" w:after="0" w:afterLines="0" w:line="320" w:lineRule="exact"/>
              <w:ind w:left="0" w:leftChars="0" w:firstLine="0" w:firstLineChars="0"/>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restart"/>
            <w:vAlign w:val="center"/>
          </w:tcPr>
          <w:p>
            <w:pPr>
              <w:adjustRightInd/>
              <w:spacing w:before="187"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铅锌冶炼</w:t>
            </w:r>
          </w:p>
          <w:p>
            <w:pPr>
              <w:adjustRightInd/>
              <w:spacing w:before="3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3212</w:t>
            </w:r>
            <w:r>
              <w:rPr>
                <w:rFonts w:hint="eastAsia" w:ascii="方正仿宋_GBK" w:hAnsi="方正仿宋_GBK" w:eastAsia="方正仿宋_GBK" w:cs="方正仿宋_GBK"/>
                <w:color w:val="000000" w:themeColor="text1"/>
                <w:kern w:val="2"/>
                <w:sz w:val="24"/>
                <w:szCs w:val="24"/>
                <w:lang w:eastAsia="en-US"/>
              </w:rPr>
              <w:t>）</w:t>
            </w:r>
          </w:p>
        </w:tc>
        <w:tc>
          <w:tcPr>
            <w:tcW w:w="1395" w:type="dxa"/>
            <w:vMerge w:val="restart"/>
            <w:vAlign w:val="center"/>
          </w:tcPr>
          <w:p>
            <w:pPr>
              <w:adjustRightInd/>
              <w:spacing w:beforeLines="0" w:after="0" w:afterLines="0" w:line="400" w:lineRule="exact"/>
              <w:ind w:left="0" w:hanging="189" w:hangingChars="8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铅冶炼</w:t>
            </w:r>
          </w:p>
        </w:tc>
        <w:tc>
          <w:tcPr>
            <w:tcW w:w="2911" w:type="dxa"/>
            <w:vAlign w:val="center"/>
          </w:tcPr>
          <w:p>
            <w:pPr>
              <w:adjustRightInd/>
              <w:spacing w:before="105" w:beforeLines="0" w:after="0" w:afterLines="0" w:line="40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粗铅工艺</w:t>
            </w:r>
          </w:p>
        </w:tc>
        <w:tc>
          <w:tcPr>
            <w:tcW w:w="1223" w:type="dxa"/>
            <w:vMerge w:val="restart"/>
            <w:vAlign w:val="center"/>
          </w:tcPr>
          <w:p>
            <w:pPr>
              <w:adjustRightInd/>
              <w:spacing w:before="187"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单位产品综合能耗</w:t>
            </w:r>
          </w:p>
        </w:tc>
        <w:tc>
          <w:tcPr>
            <w:tcW w:w="1223" w:type="dxa"/>
            <w:vMerge w:val="restart"/>
            <w:vAlign w:val="center"/>
          </w:tcPr>
          <w:p>
            <w:pPr>
              <w:adjustRightInd/>
              <w:spacing w:before="187" w:beforeLines="0" w:after="0" w:afterLines="0" w:line="320" w:lineRule="exact"/>
              <w:ind w:left="101" w:leftChars="32" w:right="0" w:firstLine="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w:t>
            </w:r>
            <w:r>
              <w:rPr>
                <w:rFonts w:hint="eastAsia" w:ascii="方正仿宋_GBK" w:hAnsi="方正仿宋_GBK" w:eastAsia="方正仿宋_GBK" w:cs="方正仿宋_GBK"/>
                <w:color w:val="000000" w:themeColor="text1"/>
                <w:kern w:val="2"/>
                <w:position w:val="0"/>
                <w:sz w:val="24"/>
                <w:szCs w:val="24"/>
                <w:lang w:eastAsia="en-US"/>
              </w:rPr>
              <w:t>煤</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吨</w:t>
            </w:r>
          </w:p>
        </w:tc>
        <w:tc>
          <w:tcPr>
            <w:tcW w:w="831" w:type="dxa"/>
            <w:vAlign w:val="center"/>
          </w:tcPr>
          <w:p>
            <w:pPr>
              <w:adjustRightInd/>
              <w:spacing w:before="126" w:beforeLines="0" w:after="0" w:afterLines="0" w:line="32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230</w:t>
            </w:r>
          </w:p>
        </w:tc>
        <w:tc>
          <w:tcPr>
            <w:tcW w:w="831" w:type="dxa"/>
            <w:vAlign w:val="center"/>
          </w:tcPr>
          <w:p>
            <w:pPr>
              <w:adjustRightInd/>
              <w:spacing w:before="126"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300</w:t>
            </w:r>
          </w:p>
        </w:tc>
        <w:tc>
          <w:tcPr>
            <w:tcW w:w="1970" w:type="dxa"/>
            <w:vMerge w:val="restart"/>
            <w:vAlign w:val="center"/>
          </w:tcPr>
          <w:p>
            <w:pPr>
              <w:adjustRightInd/>
              <w:spacing w:before="129" w:beforeLines="0" w:after="0" w:afterLines="0" w:line="320" w:lineRule="exact"/>
              <w:ind w:left="296" w:leftChars="39" w:hanging="173" w:hangingChars="73"/>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21250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continue"/>
            <w:tcBorders>
              <w:top w:val="nil"/>
            </w:tcBorders>
            <w:vAlign w:val="center"/>
          </w:tcPr>
          <w:p>
            <w:pPr>
              <w:adjustRightInd/>
              <w:spacing w:beforeLines="0" w:after="0" w:afterLines="0" w:line="40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2911" w:type="dxa"/>
            <w:vAlign w:val="center"/>
          </w:tcPr>
          <w:p>
            <w:pPr>
              <w:adjustRightInd/>
              <w:spacing w:before="105" w:beforeLines="0" w:after="0" w:afterLines="0" w:line="40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铅电解精炼工序</w:t>
            </w: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126" w:beforeLines="0" w:after="0" w:afterLines="0" w:line="32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100</w:t>
            </w:r>
          </w:p>
        </w:tc>
        <w:tc>
          <w:tcPr>
            <w:tcW w:w="831" w:type="dxa"/>
            <w:vAlign w:val="center"/>
          </w:tcPr>
          <w:p>
            <w:pPr>
              <w:adjustRightInd/>
              <w:spacing w:before="126"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120</w:t>
            </w:r>
          </w:p>
        </w:tc>
        <w:tc>
          <w:tcPr>
            <w:tcW w:w="197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continue"/>
            <w:tcBorders>
              <w:top w:val="nil"/>
            </w:tcBorders>
            <w:vAlign w:val="center"/>
          </w:tcPr>
          <w:p>
            <w:pPr>
              <w:adjustRightInd/>
              <w:spacing w:beforeLines="0" w:after="0" w:afterLines="0" w:line="40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2911" w:type="dxa"/>
            <w:vAlign w:val="center"/>
          </w:tcPr>
          <w:p>
            <w:pPr>
              <w:adjustRightInd/>
              <w:spacing w:before="105" w:beforeLines="0" w:after="0" w:afterLines="0" w:line="40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铅冶炼工艺</w:t>
            </w: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126" w:beforeLines="0" w:after="0" w:afterLines="0" w:line="320" w:lineRule="exact"/>
              <w:ind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330</w:t>
            </w:r>
          </w:p>
        </w:tc>
        <w:tc>
          <w:tcPr>
            <w:tcW w:w="831" w:type="dxa"/>
            <w:vAlign w:val="center"/>
          </w:tcPr>
          <w:p>
            <w:pPr>
              <w:adjustRightInd/>
              <w:spacing w:before="126"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420</w:t>
            </w:r>
          </w:p>
        </w:tc>
        <w:tc>
          <w:tcPr>
            <w:tcW w:w="197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r>
    </w:tbl>
    <w:p>
      <w:pPr>
        <w:adjustRightInd/>
        <w:spacing w:after="0" w:line="259" w:lineRule="auto"/>
        <w:textAlignment w:val="auto"/>
        <w:rPr>
          <w:rFonts w:asciiTheme="minorHAnsi" w:hAnsiTheme="minorHAnsi" w:eastAsiaTheme="minorEastAsia" w:cstheme="minorBidi"/>
          <w:color w:val="000000" w:themeColor="text1"/>
          <w:kern w:val="2"/>
          <w:sz w:val="2"/>
          <w:szCs w:val="2"/>
        </w:rPr>
        <w:sectPr>
          <w:pgSz w:w="16838" w:h="11905" w:orient="landscape"/>
          <w:pgMar w:top="1531" w:right="2098" w:bottom="1531" w:left="1984" w:header="850" w:footer="1417" w:gutter="0"/>
          <w:pgNumType w:fmt="decimal"/>
          <w:cols w:space="720" w:num="1"/>
          <w:rtlGutter w:val="0"/>
          <w:docGrid w:type="linesAndChars" w:linePitch="579" w:charSpace="-856"/>
        </w:sectPr>
      </w:pPr>
    </w:p>
    <w:tbl>
      <w:tblPr>
        <w:tblStyle w:val="8"/>
        <w:tblW w:w="147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492"/>
        <w:gridCol w:w="1016"/>
        <w:gridCol w:w="1320"/>
        <w:gridCol w:w="1528"/>
        <w:gridCol w:w="1395"/>
        <w:gridCol w:w="2911"/>
        <w:gridCol w:w="1223"/>
        <w:gridCol w:w="1223"/>
        <w:gridCol w:w="831"/>
        <w:gridCol w:w="831"/>
        <w:gridCol w:w="1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序</w:t>
            </w:r>
          </w:p>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号</w:t>
            </w:r>
          </w:p>
        </w:tc>
        <w:tc>
          <w:tcPr>
            <w:tcW w:w="3864" w:type="dxa"/>
            <w:gridSpan w:val="3"/>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国民经济行业分类及代码</w:t>
            </w:r>
          </w:p>
        </w:tc>
        <w:tc>
          <w:tcPr>
            <w:tcW w:w="4306" w:type="dxa"/>
            <w:gridSpan w:val="2"/>
            <w:vMerge w:val="restart"/>
            <w:vAlign w:val="center"/>
          </w:tcPr>
          <w:p>
            <w:pPr>
              <w:adjustRightInd/>
              <w:spacing w:before="0" w:beforeLines="0" w:after="0" w:afterLines="0" w:line="320" w:lineRule="exact"/>
              <w:ind w:left="0" w:righ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重点领域</w:t>
            </w:r>
          </w:p>
        </w:tc>
        <w:tc>
          <w:tcPr>
            <w:tcW w:w="1223"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指标名称</w:t>
            </w:r>
          </w:p>
        </w:tc>
        <w:tc>
          <w:tcPr>
            <w:tcW w:w="1223"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指标单位</w:t>
            </w:r>
          </w:p>
        </w:tc>
        <w:tc>
          <w:tcPr>
            <w:tcW w:w="831"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标杆</w:t>
            </w:r>
          </w:p>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水平</w:t>
            </w:r>
          </w:p>
        </w:tc>
        <w:tc>
          <w:tcPr>
            <w:tcW w:w="831"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基准</w:t>
            </w:r>
          </w:p>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水平</w:t>
            </w:r>
          </w:p>
        </w:tc>
        <w:tc>
          <w:tcPr>
            <w:tcW w:w="1970"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参考标准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c>
          <w:tcPr>
            <w:tcW w:w="1016" w:type="dxa"/>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大类</w:t>
            </w:r>
          </w:p>
        </w:tc>
        <w:tc>
          <w:tcPr>
            <w:tcW w:w="1320" w:type="dxa"/>
            <w:vAlign w:val="center"/>
          </w:tcPr>
          <w:p>
            <w:pPr>
              <w:adjustRightInd/>
              <w:spacing w:before="0" w:beforeLines="0" w:after="0" w:afterLines="0" w:line="320" w:lineRule="exact"/>
              <w:ind w:lef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中类</w:t>
            </w:r>
          </w:p>
        </w:tc>
        <w:tc>
          <w:tcPr>
            <w:tcW w:w="1528" w:type="dxa"/>
            <w:vAlign w:val="center"/>
          </w:tcPr>
          <w:p>
            <w:pPr>
              <w:adjustRightInd/>
              <w:spacing w:before="0" w:beforeLines="0" w:after="0" w:afterLines="0" w:line="320" w:lineRule="exact"/>
              <w:ind w:left="0" w:right="0"/>
              <w:jc w:val="center"/>
              <w:textAlignment w:val="auto"/>
              <w:rPr>
                <w:rFonts w:hint="eastAsia" w:ascii="方正仿宋_GBK" w:hAnsi="方正仿宋_GBK" w:eastAsia="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小类</w:t>
            </w:r>
          </w:p>
        </w:tc>
        <w:tc>
          <w:tcPr>
            <w:tcW w:w="4306" w:type="dxa"/>
            <w:gridSpan w:val="2"/>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c>
          <w:tcPr>
            <w:tcW w:w="831"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c>
          <w:tcPr>
            <w:tcW w:w="831"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c>
          <w:tcPr>
            <w:tcW w:w="1970" w:type="dxa"/>
            <w:vMerge w:val="continue"/>
            <w:tcBorders>
              <w:top w:val="nil"/>
            </w:tcBorders>
            <w:vAlign w:val="center"/>
          </w:tcPr>
          <w:p>
            <w:pPr>
              <w:adjustRightInd/>
              <w:spacing w:beforeLines="0" w:after="0" w:afterLines="0" w:line="320" w:lineRule="exact"/>
              <w:jc w:val="center"/>
              <w:textAlignment w:val="auto"/>
              <w:rPr>
                <w:rFonts w:hint="default" w:ascii="方正仿宋_GBK" w:hAnsi="方正仿宋_GBK" w:eastAsia="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restart"/>
            <w:vAlign w:val="center"/>
          </w:tcPr>
          <w:p>
            <w:pPr>
              <w:adjustRightInd/>
              <w:spacing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5</w:t>
            </w:r>
          </w:p>
        </w:tc>
        <w:tc>
          <w:tcPr>
            <w:tcW w:w="1016" w:type="dxa"/>
            <w:vMerge w:val="restart"/>
            <w:vAlign w:val="center"/>
          </w:tcPr>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有色金属冶炼和压延加工业</w:t>
            </w:r>
          </w:p>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32</w:t>
            </w:r>
            <w:r>
              <w:rPr>
                <w:rFonts w:hint="eastAsia" w:ascii="方正仿宋_GBK" w:hAnsi="方正仿宋_GBK" w:eastAsia="方正仿宋_GBK" w:cs="方正仿宋_GBK"/>
                <w:color w:val="000000" w:themeColor="text1"/>
                <w:kern w:val="2"/>
                <w:sz w:val="24"/>
                <w:szCs w:val="24"/>
                <w:lang w:eastAsia="en-US"/>
              </w:rPr>
              <w:t>）</w:t>
            </w:r>
          </w:p>
        </w:tc>
        <w:tc>
          <w:tcPr>
            <w:tcW w:w="1320" w:type="dxa"/>
            <w:vMerge w:val="restart"/>
            <w:vAlign w:val="center"/>
          </w:tcPr>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常用有色金属冶炼</w:t>
            </w:r>
          </w:p>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321</w:t>
            </w:r>
            <w:r>
              <w:rPr>
                <w:rFonts w:hint="eastAsia" w:ascii="方正仿宋_GBK" w:hAnsi="方正仿宋_GBK" w:eastAsia="方正仿宋_GBK" w:cs="方正仿宋_GBK"/>
                <w:color w:val="000000" w:themeColor="text1"/>
                <w:kern w:val="2"/>
                <w:sz w:val="24"/>
                <w:szCs w:val="24"/>
                <w:lang w:eastAsia="en-US"/>
              </w:rPr>
              <w:t>）</w:t>
            </w:r>
          </w:p>
        </w:tc>
        <w:tc>
          <w:tcPr>
            <w:tcW w:w="1528" w:type="dxa"/>
            <w:vMerge w:val="restart"/>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铅锌冶炼</w:t>
            </w:r>
          </w:p>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3212</w:t>
            </w:r>
            <w:r>
              <w:rPr>
                <w:rFonts w:hint="eastAsia" w:ascii="方正仿宋_GBK" w:hAnsi="方正仿宋_GBK" w:eastAsia="方正仿宋_GBK" w:cs="方正仿宋_GBK"/>
                <w:color w:val="000000" w:themeColor="text1"/>
                <w:kern w:val="2"/>
                <w:sz w:val="24"/>
                <w:szCs w:val="24"/>
                <w:lang w:eastAsia="en-US"/>
              </w:rPr>
              <w:t>）</w:t>
            </w:r>
          </w:p>
        </w:tc>
        <w:tc>
          <w:tcPr>
            <w:tcW w:w="1395" w:type="dxa"/>
            <w:vMerge w:val="restart"/>
            <w:vAlign w:val="center"/>
          </w:tcPr>
          <w:p>
            <w:pPr>
              <w:adjustRightInd/>
              <w:spacing w:before="0" w:beforeLines="0" w:after="0" w:afterLines="0" w:line="320" w:lineRule="exact"/>
              <w:ind w:left="0" w:firstLine="292"/>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锌冶炼</w:t>
            </w:r>
          </w:p>
        </w:tc>
        <w:tc>
          <w:tcPr>
            <w:tcW w:w="291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火法炼锌工艺：粗锌</w:t>
            </w:r>
          </w:p>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（精矿</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粗锌）</w:t>
            </w:r>
          </w:p>
        </w:tc>
        <w:tc>
          <w:tcPr>
            <w:tcW w:w="1223" w:type="dxa"/>
            <w:vMerge w:val="restart"/>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单位产品综合能耗</w:t>
            </w:r>
          </w:p>
        </w:tc>
        <w:tc>
          <w:tcPr>
            <w:tcW w:w="1223" w:type="dxa"/>
            <w:vMerge w:val="restart"/>
            <w:vAlign w:val="center"/>
          </w:tcPr>
          <w:p>
            <w:pPr>
              <w:adjustRightInd/>
              <w:spacing w:before="0" w:beforeLines="0" w:after="0" w:afterLines="0" w:line="320" w:lineRule="exact"/>
              <w:ind w:left="0" w:right="0" w:hanging="23"/>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千克标准</w:t>
            </w:r>
            <w:r>
              <w:rPr>
                <w:rFonts w:hint="eastAsia" w:ascii="方正仿宋_GBK" w:hAnsi="方正仿宋_GBK" w:eastAsia="方正仿宋_GBK" w:cs="方正仿宋_GBK"/>
                <w:color w:val="000000" w:themeColor="text1"/>
                <w:kern w:val="2"/>
                <w:position w:val="0"/>
                <w:sz w:val="24"/>
                <w:szCs w:val="24"/>
                <w:lang w:eastAsia="en-US"/>
              </w:rPr>
              <w:t>煤</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吨</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1450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1620</w:t>
            </w:r>
          </w:p>
        </w:tc>
        <w:tc>
          <w:tcPr>
            <w:tcW w:w="1970" w:type="dxa"/>
            <w:vMerge w:val="restart"/>
            <w:vAlign w:val="center"/>
          </w:tcPr>
          <w:p>
            <w:pPr>
              <w:adjustRightInd/>
              <w:spacing w:before="0" w:beforeLines="0" w:after="0" w:afterLines="0" w:line="320" w:lineRule="exact"/>
              <w:ind w:left="0" w:hanging="151" w:hangingChars="64"/>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21249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2911" w:type="dxa"/>
            <w:vAlign w:val="center"/>
          </w:tcPr>
          <w:p>
            <w:pPr>
              <w:adjustRightInd/>
              <w:spacing w:before="0" w:beforeLines="0" w:after="0" w:afterLines="0" w:line="320" w:lineRule="exact"/>
              <w:ind w:left="0" w:hanging="257" w:hangingChars="109"/>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火法炼锌工艺：锌</w:t>
            </w:r>
          </w:p>
          <w:p>
            <w:pPr>
              <w:adjustRightInd/>
              <w:spacing w:before="0" w:beforeLines="0" w:after="0" w:afterLines="0" w:line="320" w:lineRule="exact"/>
              <w:ind w:left="0" w:hanging="248" w:hangingChars="105"/>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（精矿</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精馏锌）</w:t>
            </w: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1800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2020</w:t>
            </w:r>
          </w:p>
        </w:tc>
        <w:tc>
          <w:tcPr>
            <w:tcW w:w="197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2911"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湿法炼锌工艺：电锌锌锭</w:t>
            </w:r>
          </w:p>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（有浸出渣火法处理工艺）</w:t>
            </w:r>
            <w:r>
              <w:rPr>
                <w:rFonts w:hint="eastAsia" w:ascii="方正仿宋_GBK" w:hAnsi="方正仿宋_GBK" w:eastAsia="方正仿宋_GBK" w:cs="方正仿宋_GBK"/>
                <w:color w:val="000000" w:themeColor="text1"/>
                <w:kern w:val="2"/>
                <w:position w:val="0"/>
                <w:sz w:val="24"/>
                <w:szCs w:val="24"/>
                <w:lang w:eastAsia="en-US"/>
              </w:rPr>
              <w:t>（精矿</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电锌锌锭）</w:t>
            </w: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1100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1280</w:t>
            </w:r>
          </w:p>
        </w:tc>
        <w:tc>
          <w:tcPr>
            <w:tcW w:w="197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2911"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湿法炼锌工艺：电锌锌锭</w:t>
            </w:r>
          </w:p>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（无浸出渣火法处理工艺）</w:t>
            </w:r>
            <w:r>
              <w:rPr>
                <w:rFonts w:hint="eastAsia" w:ascii="方正仿宋_GBK" w:hAnsi="方正仿宋_GBK" w:eastAsia="方正仿宋_GBK" w:cs="方正仿宋_GBK"/>
                <w:color w:val="000000" w:themeColor="text1"/>
                <w:kern w:val="2"/>
                <w:position w:val="0"/>
                <w:sz w:val="24"/>
                <w:szCs w:val="24"/>
                <w:lang w:eastAsia="en-US"/>
              </w:rPr>
              <w:t>（精矿</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电锌锌锭）</w:t>
            </w: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800</w:t>
            </w:r>
          </w:p>
        </w:tc>
        <w:tc>
          <w:tcPr>
            <w:tcW w:w="831" w:type="dxa"/>
            <w:vAlign w:val="center"/>
          </w:tcPr>
          <w:p>
            <w:pPr>
              <w:adjustRightInd/>
              <w:spacing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950</w:t>
            </w:r>
          </w:p>
        </w:tc>
        <w:tc>
          <w:tcPr>
            <w:tcW w:w="197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95"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2911"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湿法炼锌工艺：电锌锌锭</w:t>
            </w:r>
          </w:p>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（氧化锌精矿</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电锌锌锭）</w:t>
            </w: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223"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800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950</w:t>
            </w:r>
          </w:p>
        </w:tc>
        <w:tc>
          <w:tcPr>
            <w:tcW w:w="197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0" w:hRule="atLeast"/>
          <w:jc w:val="center"/>
        </w:trPr>
        <w:tc>
          <w:tcPr>
            <w:tcW w:w="492"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016"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320" w:type="dxa"/>
            <w:vMerge w:val="continue"/>
            <w:tcBorders>
              <w:top w:val="nil"/>
            </w:tcBorders>
            <w:vAlign w:val="center"/>
          </w:tcPr>
          <w:p>
            <w:pPr>
              <w:adjustRightInd/>
              <w:spacing w:beforeLines="0" w:after="0" w:afterLines="0" w:line="320" w:lineRule="exact"/>
              <w:jc w:val="center"/>
              <w:textAlignment w:val="auto"/>
              <w:rPr>
                <w:rFonts w:hint="eastAsia" w:ascii="方正仿宋_GBK" w:hAnsi="方正仿宋_GBK" w:cs="方正仿宋_GBK"/>
                <w:color w:val="000000" w:themeColor="text1"/>
                <w:spacing w:val="0"/>
                <w:kern w:val="2"/>
                <w:sz w:val="24"/>
                <w:szCs w:val="24"/>
                <w:lang w:eastAsia="en-US"/>
              </w:rPr>
            </w:pPr>
          </w:p>
        </w:tc>
        <w:tc>
          <w:tcPr>
            <w:tcW w:w="1528"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铝冶炼</w:t>
            </w:r>
          </w:p>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w:t>
            </w:r>
            <w:r>
              <w:rPr>
                <w:rFonts w:hint="default" w:ascii="Times New Roman" w:hAnsi="Times New Roman" w:eastAsia="方正仿宋_GBK" w:cs="Times New Roman"/>
                <w:color w:val="000000" w:themeColor="text1"/>
                <w:kern w:val="2"/>
                <w:sz w:val="24"/>
                <w:szCs w:val="24"/>
                <w:lang w:eastAsia="en-US"/>
              </w:rPr>
              <w:t>3216</w:t>
            </w:r>
            <w:r>
              <w:rPr>
                <w:rFonts w:hint="eastAsia" w:ascii="方正仿宋_GBK" w:hAnsi="方正仿宋_GBK" w:eastAsia="方正仿宋_GBK" w:cs="方正仿宋_GBK"/>
                <w:color w:val="000000" w:themeColor="text1"/>
                <w:kern w:val="2"/>
                <w:sz w:val="24"/>
                <w:szCs w:val="24"/>
                <w:lang w:eastAsia="en-US"/>
              </w:rPr>
              <w:t>）</w:t>
            </w:r>
          </w:p>
        </w:tc>
        <w:tc>
          <w:tcPr>
            <w:tcW w:w="4306" w:type="dxa"/>
            <w:gridSpan w:val="2"/>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电解铝</w:t>
            </w:r>
          </w:p>
        </w:tc>
        <w:tc>
          <w:tcPr>
            <w:tcW w:w="1223"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sz w:val="24"/>
                <w:szCs w:val="24"/>
                <w:lang w:eastAsia="en-US"/>
              </w:rPr>
              <w:t>铝液交流电耗</w:t>
            </w:r>
          </w:p>
        </w:tc>
        <w:tc>
          <w:tcPr>
            <w:tcW w:w="1223"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eastAsia" w:ascii="方正仿宋_GBK" w:hAnsi="方正仿宋_GBK" w:eastAsia="方正仿宋_GBK" w:cs="方正仿宋_GBK"/>
                <w:color w:val="000000" w:themeColor="text1"/>
                <w:kern w:val="2"/>
                <w:position w:val="0"/>
                <w:sz w:val="24"/>
                <w:szCs w:val="24"/>
                <w:lang w:eastAsia="en-US"/>
              </w:rPr>
              <w:t>千瓦时</w:t>
            </w:r>
            <w:r>
              <w:rPr>
                <w:rFonts w:hint="eastAsia" w:ascii="方正仿宋_GBK" w:hAnsi="方正仿宋_GBK" w:eastAsia="方正仿宋_GBK" w:cs="方正仿宋_GBK"/>
                <w:color w:val="000000" w:themeColor="text1"/>
                <w:kern w:val="2"/>
                <w:sz w:val="24"/>
                <w:szCs w:val="24"/>
                <w:lang w:eastAsia="en-US"/>
              </w:rPr>
              <w:t>/</w:t>
            </w:r>
            <w:r>
              <w:rPr>
                <w:rFonts w:hint="eastAsia" w:ascii="方正仿宋_GBK" w:hAnsi="方正仿宋_GBK" w:eastAsia="方正仿宋_GBK" w:cs="方正仿宋_GBK"/>
                <w:color w:val="000000" w:themeColor="text1"/>
                <w:kern w:val="2"/>
                <w:position w:val="0"/>
                <w:sz w:val="24"/>
                <w:szCs w:val="24"/>
                <w:lang w:eastAsia="en-US"/>
              </w:rPr>
              <w:t>吨</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13000</w:t>
            </w:r>
          </w:p>
        </w:tc>
        <w:tc>
          <w:tcPr>
            <w:tcW w:w="831" w:type="dxa"/>
            <w:vAlign w:val="center"/>
          </w:tcPr>
          <w:p>
            <w:pPr>
              <w:adjustRightInd/>
              <w:spacing w:before="0" w:beforeLines="0" w:after="0" w:afterLines="0" w:line="320" w:lineRule="exact"/>
              <w:ind w:left="0" w:righ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13350</w:t>
            </w:r>
          </w:p>
        </w:tc>
        <w:tc>
          <w:tcPr>
            <w:tcW w:w="1970" w:type="dxa"/>
            <w:vAlign w:val="center"/>
          </w:tcPr>
          <w:p>
            <w:pPr>
              <w:adjustRightInd/>
              <w:spacing w:before="0" w:beforeLines="0" w:after="0" w:afterLines="0" w:line="320" w:lineRule="exact"/>
              <w:ind w:left="0"/>
              <w:jc w:val="center"/>
              <w:textAlignment w:val="auto"/>
              <w:rPr>
                <w:rFonts w:hint="eastAsia" w:ascii="方正仿宋_GBK" w:hAnsi="方正仿宋_GBK" w:cs="方正仿宋_GBK"/>
                <w:color w:val="000000" w:themeColor="text1"/>
                <w:kern w:val="2"/>
                <w:sz w:val="24"/>
                <w:szCs w:val="24"/>
                <w:lang w:eastAsia="en-US"/>
              </w:rPr>
            </w:pPr>
            <w:r>
              <w:rPr>
                <w:rFonts w:hint="default" w:ascii="Times New Roman" w:hAnsi="Times New Roman" w:eastAsia="方正仿宋_GBK" w:cs="Times New Roman"/>
                <w:color w:val="000000" w:themeColor="text1"/>
                <w:kern w:val="2"/>
                <w:sz w:val="24"/>
                <w:szCs w:val="24"/>
                <w:lang w:eastAsia="en-US"/>
              </w:rPr>
              <w:t>GB</w:t>
            </w:r>
            <w:r>
              <w:rPr>
                <w:rFonts w:hint="eastAsia" w:ascii="方正仿宋_GBK" w:hAnsi="方正仿宋_GBK" w:eastAsia="方正仿宋_GBK" w:cs="方正仿宋_GBK"/>
                <w:color w:val="000000" w:themeColor="text1"/>
                <w:kern w:val="2"/>
                <w:sz w:val="24"/>
                <w:szCs w:val="24"/>
                <w:lang w:eastAsia="en-US"/>
              </w:rPr>
              <w:t xml:space="preserve"> </w:t>
            </w:r>
            <w:r>
              <w:rPr>
                <w:rFonts w:hint="default" w:ascii="Times New Roman" w:hAnsi="Times New Roman" w:eastAsia="方正仿宋_GBK" w:cs="Times New Roman"/>
                <w:color w:val="000000" w:themeColor="text1"/>
                <w:kern w:val="2"/>
                <w:sz w:val="24"/>
                <w:szCs w:val="24"/>
                <w:lang w:eastAsia="en-US"/>
              </w:rPr>
              <w:t>21346</w:t>
            </w:r>
          </w:p>
        </w:tc>
      </w:tr>
    </w:tbl>
    <w:p>
      <w:pPr>
        <w:keepNext w:val="0"/>
        <w:keepLines w:val="0"/>
        <w:pageBreakBefore w:val="0"/>
        <w:kinsoku/>
        <w:wordWrap/>
        <w:overflowPunct/>
        <w:topLinePunct w:val="0"/>
        <w:autoSpaceDE/>
        <w:autoSpaceDN/>
        <w:bidi w:val="0"/>
        <w:adjustRightInd/>
        <w:snapToGrid/>
        <w:spacing w:before="0" w:after="0" w:line="500" w:lineRule="exact"/>
        <w:ind w:left="0" w:leftChars="0" w:right="0" w:firstLine="552" w:firstLineChars="200"/>
        <w:jc w:val="both"/>
        <w:textAlignment w:val="auto"/>
        <w:rPr>
          <w:rFonts w:hint="eastAsia" w:ascii="方正仿宋_GBK" w:hAnsi="方正仿宋_GBK" w:eastAsia="方正仿宋_GBK" w:cs="方正仿宋_GBK"/>
          <w:color w:val="000000" w:themeColor="text1"/>
          <w:sz w:val="28"/>
          <w:szCs w:val="28"/>
          <w:lang w:eastAsia="en-US"/>
        </w:rPr>
      </w:pPr>
      <w:r>
        <w:rPr>
          <w:rFonts w:hint="eastAsia" w:ascii="方正仿宋_GBK" w:hAnsi="方正仿宋_GBK" w:eastAsia="方正仿宋_GBK" w:cs="方正仿宋_GBK"/>
          <w:b w:val="0"/>
          <w:bCs w:val="0"/>
          <w:color w:val="000000" w:themeColor="text1"/>
          <w:sz w:val="28"/>
          <w:szCs w:val="28"/>
          <w:lang w:eastAsia="en-US"/>
        </w:rPr>
        <w:t>注：</w:t>
      </w:r>
      <w:r>
        <w:rPr>
          <w:rFonts w:hint="eastAsia" w:ascii="方正仿宋_GBK" w:hAnsi="方正仿宋_GBK" w:eastAsia="方正仿宋_GBK" w:cs="方正仿宋_GBK"/>
          <w:color w:val="000000" w:themeColor="text1"/>
          <w:sz w:val="28"/>
          <w:szCs w:val="28"/>
          <w:lang w:eastAsia="en-US"/>
        </w:rPr>
        <w:t>1</w:t>
      </w:r>
      <w:r>
        <w:rPr>
          <w:rFonts w:hint="eastAsia" w:ascii="方正仿宋_GBK" w:hAnsi="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lang w:eastAsia="en-US"/>
        </w:rPr>
        <w:t>各领域标杆水平和基准水平主要参考国家现行单位产品能耗限额标准的先进值和准入值、限</w:t>
      </w:r>
    </w:p>
    <w:p>
      <w:pPr>
        <w:keepNext w:val="0"/>
        <w:keepLines w:val="0"/>
        <w:pageBreakBefore w:val="0"/>
        <w:kinsoku/>
        <w:wordWrap/>
        <w:overflowPunct/>
        <w:topLinePunct w:val="0"/>
        <w:autoSpaceDE/>
        <w:autoSpaceDN/>
        <w:bidi w:val="0"/>
        <w:adjustRightInd/>
        <w:snapToGrid/>
        <w:spacing w:before="0" w:after="0" w:line="500" w:lineRule="exact"/>
        <w:ind w:left="0" w:leftChars="0" w:right="0" w:firstLine="1479" w:firstLineChars="536"/>
        <w:jc w:val="both"/>
        <w:textAlignment w:val="auto"/>
        <w:rPr>
          <w:rFonts w:hint="eastAsia" w:ascii="方正仿宋_GBK" w:hAnsi="方正仿宋_GBK" w:eastAsia="方正仿宋_GBK" w:cs="方正仿宋_GBK"/>
          <w:color w:val="000000" w:themeColor="text1"/>
          <w:sz w:val="28"/>
          <w:szCs w:val="28"/>
          <w:lang w:eastAsia="en-US"/>
        </w:rPr>
      </w:pPr>
      <w:r>
        <w:rPr>
          <w:rFonts w:hint="eastAsia" w:ascii="方正仿宋_GBK" w:hAnsi="方正仿宋_GBK" w:eastAsia="方正仿宋_GBK" w:cs="方正仿宋_GBK"/>
          <w:color w:val="000000" w:themeColor="text1"/>
          <w:sz w:val="28"/>
          <w:szCs w:val="28"/>
          <w:lang w:eastAsia="en-US"/>
        </w:rPr>
        <w:t>定值，根据行业实际、发展预期、生产装置整体能效水平等确定。统计范围、计算方法等参</w:t>
      </w:r>
    </w:p>
    <w:p>
      <w:pPr>
        <w:keepNext w:val="0"/>
        <w:keepLines w:val="0"/>
        <w:pageBreakBefore w:val="0"/>
        <w:kinsoku/>
        <w:wordWrap/>
        <w:overflowPunct/>
        <w:topLinePunct w:val="0"/>
        <w:autoSpaceDE/>
        <w:autoSpaceDN/>
        <w:bidi w:val="0"/>
        <w:adjustRightInd/>
        <w:snapToGrid/>
        <w:spacing w:before="0" w:after="0" w:line="500" w:lineRule="exact"/>
        <w:ind w:left="0" w:leftChars="0" w:right="0" w:firstLine="1479" w:firstLineChars="536"/>
        <w:jc w:val="both"/>
        <w:textAlignment w:val="auto"/>
        <w:rPr>
          <w:rFonts w:hint="eastAsia" w:ascii="方正仿宋_GBK" w:hAnsi="方正仿宋_GBK" w:cs="方正仿宋_GBK"/>
          <w:color w:val="000000" w:themeColor="text1"/>
          <w:sz w:val="28"/>
          <w:szCs w:val="28"/>
          <w:lang w:eastAsia="en-US"/>
        </w:rPr>
      </w:pPr>
      <w:r>
        <w:rPr>
          <w:rFonts w:hint="eastAsia" w:ascii="方正仿宋_GBK" w:hAnsi="方正仿宋_GBK" w:eastAsia="方正仿宋_GBK" w:cs="方正仿宋_GBK"/>
          <w:color w:val="000000" w:themeColor="text1"/>
          <w:sz w:val="28"/>
          <w:szCs w:val="28"/>
          <w:lang w:eastAsia="en-US"/>
        </w:rPr>
        <w:t>考相应标准。</w:t>
      </w:r>
    </w:p>
    <w:p>
      <w:pPr>
        <w:keepNext w:val="0"/>
        <w:keepLines w:val="0"/>
        <w:pageBreakBefore w:val="0"/>
        <w:kinsoku/>
        <w:wordWrap/>
        <w:overflowPunct/>
        <w:topLinePunct w:val="0"/>
        <w:autoSpaceDE/>
        <w:autoSpaceDN/>
        <w:bidi w:val="0"/>
        <w:adjustRightInd/>
        <w:snapToGrid/>
        <w:spacing w:after="0" w:line="500" w:lineRule="exact"/>
        <w:ind w:left="0" w:leftChars="0" w:firstLine="1079" w:firstLineChars="391"/>
        <w:jc w:val="both"/>
        <w:textAlignment w:val="auto"/>
        <w:rPr>
          <w:rFonts w:hint="eastAsia" w:ascii="方正仿宋_GBK" w:hAnsi="方正仿宋_GBK" w:eastAsia="方正仿宋_GBK" w:cs="方正仿宋_GBK"/>
          <w:color w:val="000000" w:themeColor="text1"/>
          <w:sz w:val="28"/>
          <w:szCs w:val="28"/>
          <w:lang w:eastAsia="en-US"/>
        </w:rPr>
      </w:pPr>
      <w:r>
        <w:rPr>
          <w:rFonts w:hint="eastAsia" w:ascii="方正仿宋_GBK" w:hAnsi="方正仿宋_GBK" w:eastAsia="方正仿宋_GBK" w:cs="方正仿宋_GBK"/>
          <w:color w:val="000000" w:themeColor="text1"/>
          <w:sz w:val="28"/>
          <w:szCs w:val="28"/>
          <w:lang w:eastAsia="en-US"/>
        </w:rPr>
        <w:t>2</w:t>
      </w:r>
      <w:r>
        <w:rPr>
          <w:rFonts w:hint="eastAsia" w:ascii="方正仿宋_GBK" w:hAnsi="方正仿宋_GBK" w:cs="方正仿宋_GBK"/>
          <w:color w:val="000000" w:themeColor="text1"/>
          <w:sz w:val="28"/>
          <w:szCs w:val="28"/>
          <w:lang w:eastAsia="zh-CN"/>
        </w:rPr>
        <w:t>．</w:t>
      </w:r>
      <w:r>
        <w:rPr>
          <w:rFonts w:hint="eastAsia" w:ascii="方正仿宋_GBK" w:hAnsi="方正仿宋_GBK" w:eastAsia="方正仿宋_GBK" w:cs="方正仿宋_GBK"/>
          <w:color w:val="000000" w:themeColor="text1"/>
          <w:sz w:val="28"/>
          <w:szCs w:val="28"/>
          <w:lang w:eastAsia="en-US"/>
        </w:rPr>
        <w:t>表中的高耗能行业重点领域范围和标杆水平、基准水平，视行业发展和国家现行单位产品能</w:t>
      </w:r>
    </w:p>
    <w:p>
      <w:pPr>
        <w:keepNext w:val="0"/>
        <w:keepLines w:val="0"/>
        <w:pageBreakBefore w:val="0"/>
        <w:kinsoku/>
        <w:wordWrap/>
        <w:overflowPunct/>
        <w:topLinePunct w:val="0"/>
        <w:autoSpaceDE/>
        <w:autoSpaceDN/>
        <w:bidi w:val="0"/>
        <w:adjustRightInd/>
        <w:snapToGrid/>
        <w:spacing w:after="0" w:line="500" w:lineRule="exact"/>
        <w:ind w:left="0" w:leftChars="0" w:firstLine="1479" w:firstLineChars="536"/>
        <w:jc w:val="both"/>
        <w:textAlignment w:val="auto"/>
        <w:rPr>
          <w:rFonts w:hint="eastAsia" w:ascii="方正仿宋_GBK" w:hAnsi="方正仿宋_GBK" w:eastAsia="方正仿宋_GBK" w:cs="方正仿宋_GBK"/>
          <w:color w:val="000000" w:themeColor="text1"/>
          <w:sz w:val="28"/>
          <w:szCs w:val="28"/>
          <w:lang w:val="en-US" w:eastAsia="zh-CN"/>
        </w:rPr>
      </w:pPr>
      <w:r>
        <w:rPr>
          <w:rFonts w:hint="eastAsia" w:ascii="方正仿宋_GBK" w:hAnsi="方正仿宋_GBK" w:eastAsia="方正仿宋_GBK" w:cs="方正仿宋_GBK"/>
          <w:color w:val="000000" w:themeColor="text1"/>
          <w:sz w:val="28"/>
          <w:szCs w:val="28"/>
          <w:lang w:eastAsia="en-US"/>
        </w:rPr>
        <w:t>耗限额标准制修订情况进行补充完善和动态调整。</w:t>
      </w:r>
    </w:p>
    <w:p>
      <w:pPr>
        <w:adjustRightInd/>
        <w:spacing w:after="160" w:line="259" w:lineRule="auto"/>
        <w:textAlignment w:val="auto"/>
        <w:rPr>
          <w:rFonts w:asciiTheme="minorHAnsi" w:hAnsiTheme="minorHAnsi" w:eastAsiaTheme="minorEastAsia" w:cstheme="minorBidi"/>
          <w:color w:val="000000" w:themeColor="text1"/>
          <w:kern w:val="2"/>
          <w:sz w:val="21"/>
          <w:szCs w:val="22"/>
        </w:rPr>
        <w:sectPr>
          <w:footerReference r:id="rId8" w:type="default"/>
          <w:footerReference r:id="rId9" w:type="even"/>
          <w:pgSz w:w="16838" w:h="11905" w:orient="landscape"/>
          <w:pgMar w:top="1531" w:right="2098" w:bottom="1531" w:left="1984" w:header="850" w:footer="1417" w:gutter="0"/>
          <w:cols w:space="720" w:num="1"/>
          <w:rtlGutter w:val="0"/>
          <w:docGrid w:type="linesAndChars" w:linePitch="579" w:charSpace="-856"/>
        </w:sect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sectPr>
          <w:headerReference r:id="rId10" w:type="first"/>
          <w:footerReference r:id="rId11" w:type="first"/>
          <w:pgSz w:w="11905" w:h="16838"/>
          <w:pgMar w:top="2098" w:right="1531" w:bottom="1984" w:left="1531" w:header="850" w:footer="1417" w:gutter="0"/>
          <w:cols w:space="720" w:num="1"/>
          <w:titlePg/>
          <w:rtlGutter w:val="0"/>
          <w:docGrid w:type="linesAndChars" w:linePitch="579" w:charSpace="-856"/>
        </w:sect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spacing w:line="240" w:lineRule="auto"/>
        <w:rPr>
          <w:color w:val="000000" w:themeColor="text1"/>
        </w:rPr>
      </w:pPr>
    </w:p>
    <w:p>
      <w:pPr>
        <w:keepNext w:val="0"/>
        <w:keepLines w:val="0"/>
        <w:pageBreakBefore w:val="0"/>
        <w:widowControl w:val="0"/>
        <w:pBdr>
          <w:bottom w:val="none" w:color="auto" w:sz="0" w:space="0"/>
        </w:pBdr>
        <w:kinsoku/>
        <w:wordWrap/>
        <w:overflowPunct/>
        <w:topLinePunct w:val="0"/>
        <w:autoSpaceDE/>
        <w:autoSpaceDN/>
        <w:bidi w:val="0"/>
        <w:adjustRightInd w:val="0"/>
        <w:snapToGrid/>
        <w:spacing w:line="460" w:lineRule="exact"/>
        <w:jc w:val="left"/>
        <w:textAlignment w:val="baseline"/>
        <w:rPr>
          <w:rFonts w:hint="eastAsia"/>
          <w:color w:val="000000" w:themeColor="text1"/>
          <w:spacing w:val="0"/>
          <w:sz w:val="28"/>
          <w:szCs w:val="28"/>
        </w:rPr>
      </w:pPr>
    </w:p>
    <w:p>
      <w:pPr>
        <w:pBdr>
          <w:top w:val="single" w:color="auto" w:sz="12" w:space="0"/>
          <w:bottom w:val="single" w:color="auto" w:sz="12" w:space="0"/>
        </w:pBdr>
        <w:spacing w:line="240" w:lineRule="auto"/>
        <w:jc w:val="left"/>
        <w:rPr>
          <w:color w:val="000000" w:themeColor="text1"/>
        </w:rPr>
      </w:pPr>
      <w:r>
        <w:rPr>
          <w:rFonts w:hint="eastAsia"/>
          <w:color w:val="000000" w:themeColor="text1"/>
          <w:spacing w:val="0"/>
          <w:sz w:val="28"/>
          <w:szCs w:val="28"/>
          <w:lang w:val="en-US" w:eastAsia="zh-CN"/>
        </w:rPr>
        <w:t xml:space="preserve">  </w:t>
      </w:r>
    </w:p>
    <w:sectPr>
      <w:pgSz w:w="11905" w:h="16838"/>
      <w:pgMar w:top="2098" w:right="1531" w:bottom="1984" w:left="1531" w:header="850" w:footer="1417" w:gutter="0"/>
      <w:cols w:space="720" w:num="1"/>
      <w:titlePg/>
      <w:rtlGutter w:val="0"/>
      <w:docGrid w:type="linesAndChars" w:linePitch="579" w:charSpace="-8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0" o:spid="_x0000_s205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firstLine="0"/>
      <w:rPr>
        <w:sz w:val="20"/>
      </w:rPr>
    </w:pPr>
    <w:r>
      <w:rPr>
        <w:sz w:val="18"/>
      </w:rPr>
      <w:pict>
        <v:shape id="_x0000_s2051" o:spid="_x0000_s2051"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6C61DD2"/>
    <w:rsid w:val="07DE0AAA"/>
    <w:rsid w:val="0CF02DEE"/>
    <w:rsid w:val="12080E07"/>
    <w:rsid w:val="12C81AA5"/>
    <w:rsid w:val="14252FF1"/>
    <w:rsid w:val="1578613D"/>
    <w:rsid w:val="193D01E0"/>
    <w:rsid w:val="1D2027D0"/>
    <w:rsid w:val="1D4E12BA"/>
    <w:rsid w:val="1F4C00ED"/>
    <w:rsid w:val="209812F8"/>
    <w:rsid w:val="22000DFA"/>
    <w:rsid w:val="226117B6"/>
    <w:rsid w:val="23445D57"/>
    <w:rsid w:val="23570372"/>
    <w:rsid w:val="256B156C"/>
    <w:rsid w:val="25B27047"/>
    <w:rsid w:val="26D83835"/>
    <w:rsid w:val="27F5397D"/>
    <w:rsid w:val="2AFF29AF"/>
    <w:rsid w:val="2B6540BB"/>
    <w:rsid w:val="2B6F62D5"/>
    <w:rsid w:val="2B8704A8"/>
    <w:rsid w:val="2C871364"/>
    <w:rsid w:val="2E90463C"/>
    <w:rsid w:val="30C82935"/>
    <w:rsid w:val="33D77978"/>
    <w:rsid w:val="359D56FF"/>
    <w:rsid w:val="35EF5E14"/>
    <w:rsid w:val="37083883"/>
    <w:rsid w:val="38146403"/>
    <w:rsid w:val="38B97D28"/>
    <w:rsid w:val="3A1F5203"/>
    <w:rsid w:val="3CAA24EF"/>
    <w:rsid w:val="3D584BA2"/>
    <w:rsid w:val="402E288B"/>
    <w:rsid w:val="417E794A"/>
    <w:rsid w:val="41F73746"/>
    <w:rsid w:val="45E47B16"/>
    <w:rsid w:val="47651902"/>
    <w:rsid w:val="477B47A9"/>
    <w:rsid w:val="48C40D18"/>
    <w:rsid w:val="4A30398A"/>
    <w:rsid w:val="4A381713"/>
    <w:rsid w:val="4A9F4CF0"/>
    <w:rsid w:val="4AC07792"/>
    <w:rsid w:val="4AC2609A"/>
    <w:rsid w:val="4BFA161D"/>
    <w:rsid w:val="4CE7092E"/>
    <w:rsid w:val="4DBE14FB"/>
    <w:rsid w:val="4E252DB9"/>
    <w:rsid w:val="5073301F"/>
    <w:rsid w:val="52E96C7E"/>
    <w:rsid w:val="545424E6"/>
    <w:rsid w:val="54E47F11"/>
    <w:rsid w:val="55835057"/>
    <w:rsid w:val="57DB6B64"/>
    <w:rsid w:val="589056B2"/>
    <w:rsid w:val="596F430D"/>
    <w:rsid w:val="5BC50A62"/>
    <w:rsid w:val="5E000BFA"/>
    <w:rsid w:val="60050F24"/>
    <w:rsid w:val="60AE542F"/>
    <w:rsid w:val="60C86A4E"/>
    <w:rsid w:val="61561366"/>
    <w:rsid w:val="6383212C"/>
    <w:rsid w:val="65E0558A"/>
    <w:rsid w:val="68E8683A"/>
    <w:rsid w:val="694D661D"/>
    <w:rsid w:val="696E3491"/>
    <w:rsid w:val="6AFF5937"/>
    <w:rsid w:val="6B90281A"/>
    <w:rsid w:val="6C3D2854"/>
    <w:rsid w:val="6C57281F"/>
    <w:rsid w:val="6DC51FAE"/>
    <w:rsid w:val="6E163EDE"/>
    <w:rsid w:val="726C3FD1"/>
    <w:rsid w:val="73815F40"/>
    <w:rsid w:val="767B6BB5"/>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unhideWhenUsed/>
    <w:uiPriority w:val="1"/>
  </w:style>
  <w:style w:type="table" w:default="1" w:styleId="8">
    <w:name w:val="Normal Table"/>
    <w:unhideWhenUsed/>
    <w:qFormat/>
    <w:uiPriority w:val="99"/>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12"/>
    <w:qFormat/>
    <w:uiPriority w:val="1"/>
    <w:pPr>
      <w:adjustRightInd/>
      <w:spacing w:after="160" w:line="259" w:lineRule="auto"/>
      <w:ind w:left="100" w:firstLine="559"/>
      <w:jc w:val="left"/>
      <w:textAlignment w:val="auto"/>
    </w:pPr>
    <w:rPr>
      <w:rFonts w:ascii="宋体" w:hAnsi="宋体" w:eastAsia="宋体" w:cstheme="minorBidi"/>
      <w:sz w:val="28"/>
      <w:szCs w:val="28"/>
      <w:lang w:eastAsia="en-US"/>
    </w:r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customStyle="1" w:styleId="9">
    <w:name w:val="页脚 Char"/>
    <w:link w:val="4"/>
    <w:qFormat/>
    <w:uiPriority w:val="99"/>
    <w:rPr>
      <w:rFonts w:eastAsia="方正仿宋_GBK"/>
      <w:sz w:val="18"/>
      <w:szCs w:val="18"/>
    </w:rPr>
  </w:style>
  <w:style w:type="character" w:customStyle="1" w:styleId="10">
    <w:name w:val="页眉 Char"/>
    <w:link w:val="5"/>
    <w:qFormat/>
    <w:uiPriority w:val="0"/>
    <w:rPr>
      <w:rFonts w:eastAsia="方正仿宋_GBK"/>
      <w:sz w:val="18"/>
      <w:szCs w:val="18"/>
    </w:rPr>
  </w:style>
  <w:style w:type="paragraph" w:customStyle="1" w:styleId="11">
    <w:name w:val="正文-啊"/>
    <w:basedOn w:val="1"/>
    <w:qFormat/>
    <w:uiPriority w:val="0"/>
    <w:pPr>
      <w:adjustRightInd/>
      <w:spacing w:after="160" w:line="588" w:lineRule="exact"/>
      <w:ind w:firstLine="1134"/>
      <w:contextualSpacing/>
      <w:textAlignment w:val="auto"/>
    </w:pPr>
    <w:rPr>
      <w:color w:val="000000"/>
      <w:kern w:val="2"/>
      <w:sz w:val="30"/>
      <w:szCs w:val="30"/>
    </w:rPr>
  </w:style>
  <w:style w:type="character" w:customStyle="1" w:styleId="12">
    <w:name w:val="正文文本 Char"/>
    <w:basedOn w:val="6"/>
    <w:link w:val="2"/>
    <w:qFormat/>
    <w:uiPriority w:val="1"/>
    <w:rPr>
      <w:rFonts w:ascii="宋体" w:hAnsi="宋体"/>
      <w:sz w:val="28"/>
      <w:szCs w:val="28"/>
      <w:lang w:eastAsia="en-US"/>
    </w:rPr>
  </w:style>
  <w:style w:type="paragraph" w:customStyle="1" w:styleId="13">
    <w:name w:val="Table Paragraph"/>
    <w:basedOn w:val="1"/>
    <w:qFormat/>
    <w:uiPriority w:val="1"/>
    <w:pPr>
      <w:adjustRightInd/>
      <w:spacing w:after="160" w:line="259" w:lineRule="auto"/>
      <w:jc w:val="left"/>
      <w:textAlignment w:val="auto"/>
    </w:pPr>
    <w:rPr>
      <w:rFonts w:asciiTheme="minorHAnsi" w:hAnsiTheme="minorHAnsi" w:eastAsiaTheme="minorEastAsia" w:cstheme="minorBidi"/>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1"/>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5</Words>
  <Characters>32</Characters>
  <Lines>1</Lines>
  <Paragraphs>1</Paragraphs>
  <TotalTime>2</TotalTime>
  <ScaleCrop>false</ScaleCrop>
  <LinksUpToDate>false</LinksUpToDate>
  <CharactersWithSpaces>36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2022-03-01T06:14:00Z</cp:lastPrinted>
  <dcterms:modified xsi:type="dcterms:W3CDTF">2022-03-02T07:17:42Z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